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D3" w:rsidRPr="00301A6D" w:rsidRDefault="00301A6D" w:rsidP="00301A6D">
      <w:pPr>
        <w:jc w:val="center"/>
        <w:rPr>
          <w:rFonts w:ascii="Times New Roman" w:hAnsi="Times New Roman" w:cs="Times New Roman"/>
          <w:sz w:val="24"/>
          <w:szCs w:val="24"/>
        </w:rPr>
      </w:pPr>
      <w:r w:rsidRPr="00301A6D">
        <w:rPr>
          <w:rFonts w:ascii="Times New Roman" w:hAnsi="Times New Roman" w:cs="Times New Roman"/>
          <w:sz w:val="24"/>
          <w:szCs w:val="24"/>
        </w:rPr>
        <w:t>PAŠNODARBINĀTĀS PERSONAS</w:t>
      </w:r>
    </w:p>
    <w:p w:rsidR="00301A6D" w:rsidRDefault="00301A6D" w:rsidP="00301A6D">
      <w:pPr>
        <w:shd w:val="clear" w:color="auto" w:fill="FFFFFF"/>
        <w:spacing w:line="240" w:lineRule="auto"/>
        <w:jc w:val="both"/>
        <w:rPr>
          <w:rFonts w:ascii="Times New Roman" w:hAnsi="Times New Roman" w:cs="Times New Roman"/>
          <w:sz w:val="24"/>
          <w:szCs w:val="24"/>
        </w:rPr>
      </w:pPr>
    </w:p>
    <w:p w:rsidR="008E1507" w:rsidRPr="00502A99" w:rsidRDefault="00301A6D" w:rsidP="00502A99">
      <w:pPr>
        <w:shd w:val="clear" w:color="auto" w:fill="FFFFFF"/>
        <w:spacing w:line="240" w:lineRule="auto"/>
        <w:jc w:val="both"/>
        <w:rPr>
          <w:rFonts w:ascii="Times New Roman" w:hAnsi="Times New Roman" w:cs="Times New Roman"/>
          <w:sz w:val="24"/>
          <w:szCs w:val="24"/>
        </w:rPr>
      </w:pPr>
      <w:r w:rsidRPr="00301A6D">
        <w:rPr>
          <w:rFonts w:ascii="Times New Roman" w:hAnsi="Times New Roman" w:cs="Times New Roman"/>
          <w:sz w:val="24"/>
          <w:szCs w:val="24"/>
        </w:rPr>
        <w:t>2015. gada 13. oktobr</w:t>
      </w:r>
      <w:r>
        <w:rPr>
          <w:rFonts w:ascii="Times New Roman" w:hAnsi="Times New Roman" w:cs="Times New Roman"/>
          <w:sz w:val="24"/>
          <w:szCs w:val="24"/>
        </w:rPr>
        <w:t>a</w:t>
      </w:r>
      <w:r w:rsidRPr="00301A6D">
        <w:rPr>
          <w:rFonts w:ascii="Times New Roman" w:hAnsi="Times New Roman" w:cs="Times New Roman"/>
          <w:sz w:val="24"/>
          <w:szCs w:val="24"/>
        </w:rPr>
        <w:t xml:space="preserve"> </w:t>
      </w:r>
      <w:r>
        <w:rPr>
          <w:rFonts w:ascii="Times New Roman" w:hAnsi="Times New Roman" w:cs="Times New Roman"/>
          <w:sz w:val="24"/>
          <w:szCs w:val="24"/>
        </w:rPr>
        <w:t>Ministru kabineta noteikumu</w:t>
      </w:r>
      <w:r w:rsidRPr="00301A6D">
        <w:rPr>
          <w:rFonts w:ascii="Times New Roman" w:hAnsi="Times New Roman" w:cs="Times New Roman"/>
          <w:sz w:val="24"/>
          <w:szCs w:val="24"/>
        </w:rPr>
        <w:t xml:space="preserve"> Nr. 590 </w:t>
      </w:r>
      <w:r>
        <w:rPr>
          <w:rFonts w:ascii="Times New Roman" w:hAnsi="Times New Roman" w:cs="Times New Roman"/>
          <w:sz w:val="24"/>
          <w:szCs w:val="24"/>
        </w:rPr>
        <w:t>“</w:t>
      </w:r>
      <w:r w:rsidRPr="00301A6D">
        <w:rPr>
          <w:rFonts w:ascii="Times New Roman" w:hAnsi="Times New Roman" w:cs="Times New Roman"/>
          <w:sz w:val="24"/>
          <w:szCs w:val="24"/>
        </w:rPr>
        <w:t xml:space="preserve">Valsts un Eiropas Savienības atbalsta piešķiršanas kārtība lauku attīstībai apakšpasākumā "Darbību īstenošana saskaņā ar </w:t>
      </w:r>
      <w:r>
        <w:rPr>
          <w:rFonts w:ascii="Times New Roman" w:hAnsi="Times New Roman" w:cs="Times New Roman"/>
          <w:sz w:val="24"/>
          <w:szCs w:val="24"/>
        </w:rPr>
        <w:t>s</w:t>
      </w:r>
      <w:r w:rsidRPr="00301A6D">
        <w:rPr>
          <w:rFonts w:ascii="Times New Roman" w:hAnsi="Times New Roman" w:cs="Times New Roman"/>
          <w:sz w:val="24"/>
          <w:szCs w:val="24"/>
        </w:rPr>
        <w:t>abiedrības virzītas vietējās attīstības stratēģiju"</w:t>
      </w:r>
      <w:r>
        <w:rPr>
          <w:rFonts w:ascii="Times New Roman" w:hAnsi="Times New Roman" w:cs="Times New Roman"/>
          <w:sz w:val="24"/>
          <w:szCs w:val="24"/>
        </w:rPr>
        <w:t xml:space="preserve">” (turpmāk – Noteikumi Nr.590) 6.2.apakšpunkts nosaka, ka </w:t>
      </w:r>
      <w:r w:rsidR="008373D4">
        <w:rPr>
          <w:rFonts w:ascii="Times New Roman" w:hAnsi="Times New Roman" w:cs="Times New Roman"/>
          <w:sz w:val="24"/>
          <w:szCs w:val="24"/>
        </w:rPr>
        <w:t>jaun</w:t>
      </w:r>
      <w:r>
        <w:rPr>
          <w:rFonts w:ascii="Times New Roman" w:hAnsi="Times New Roman" w:cs="Times New Roman"/>
          <w:sz w:val="24"/>
          <w:szCs w:val="24"/>
        </w:rPr>
        <w:t>radīta darba vieta tiek skaitīta, ja pašnodarbināta</w:t>
      </w:r>
      <w:r w:rsidRPr="00301A6D">
        <w:rPr>
          <w:rFonts w:ascii="Times New Roman" w:hAnsi="Times New Roman" w:cs="Times New Roman"/>
          <w:sz w:val="24"/>
          <w:szCs w:val="24"/>
        </w:rPr>
        <w:t xml:space="preserve"> personas </w:t>
      </w:r>
      <w:r>
        <w:rPr>
          <w:rFonts w:ascii="Times New Roman" w:hAnsi="Times New Roman" w:cs="Times New Roman"/>
          <w:sz w:val="24"/>
          <w:szCs w:val="24"/>
        </w:rPr>
        <w:t>uzsākusi</w:t>
      </w:r>
      <w:r w:rsidRPr="00301A6D">
        <w:rPr>
          <w:rFonts w:ascii="Times New Roman" w:hAnsi="Times New Roman" w:cs="Times New Roman"/>
          <w:sz w:val="24"/>
          <w:szCs w:val="24"/>
        </w:rPr>
        <w:t xml:space="preserve"> saimniecisk</w:t>
      </w:r>
      <w:r>
        <w:rPr>
          <w:rFonts w:ascii="Times New Roman" w:hAnsi="Times New Roman" w:cs="Times New Roman"/>
          <w:sz w:val="24"/>
          <w:szCs w:val="24"/>
        </w:rPr>
        <w:t>o</w:t>
      </w:r>
      <w:r w:rsidRPr="00301A6D">
        <w:rPr>
          <w:rFonts w:ascii="Times New Roman" w:hAnsi="Times New Roman" w:cs="Times New Roman"/>
          <w:sz w:val="24"/>
          <w:szCs w:val="24"/>
        </w:rPr>
        <w:t xml:space="preserve"> darbīb</w:t>
      </w:r>
      <w:r>
        <w:rPr>
          <w:rFonts w:ascii="Times New Roman" w:hAnsi="Times New Roman" w:cs="Times New Roman"/>
          <w:sz w:val="24"/>
          <w:szCs w:val="24"/>
        </w:rPr>
        <w:t xml:space="preserve">u </w:t>
      </w:r>
      <w:r w:rsidRPr="00301A6D">
        <w:rPr>
          <w:rFonts w:ascii="Times New Roman" w:hAnsi="Times New Roman" w:cs="Times New Roman"/>
          <w:sz w:val="24"/>
          <w:szCs w:val="24"/>
        </w:rPr>
        <w:t>un par to tiek veiktas valsts sociālās apdrošināšanas obligātās iemaksas</w:t>
      </w:r>
      <w:r>
        <w:rPr>
          <w:rFonts w:ascii="Times New Roman" w:hAnsi="Times New Roman" w:cs="Times New Roman"/>
          <w:sz w:val="24"/>
          <w:szCs w:val="24"/>
        </w:rPr>
        <w:t xml:space="preserve">. </w:t>
      </w:r>
    </w:p>
    <w:p w:rsidR="00351E46" w:rsidRDefault="00351E46" w:rsidP="00351E46">
      <w:pPr>
        <w:pStyle w:val="BodyText"/>
        <w:rPr>
          <w:position w:val="0"/>
          <w:sz w:val="24"/>
          <w:szCs w:val="24"/>
        </w:rPr>
      </w:pPr>
      <w:r w:rsidRPr="00351E46">
        <w:rPr>
          <w:position w:val="0"/>
          <w:sz w:val="24"/>
          <w:szCs w:val="24"/>
        </w:rPr>
        <w:t>2016.gadā Ministru kabineta noteiktā minimālā mēneša darba alga ir 370 </w:t>
      </w:r>
      <w:r w:rsidRPr="00351E46">
        <w:rPr>
          <w:i/>
          <w:position w:val="0"/>
          <w:sz w:val="24"/>
          <w:szCs w:val="24"/>
        </w:rPr>
        <w:t>euro</w:t>
      </w:r>
      <w:r w:rsidRPr="00351E46">
        <w:rPr>
          <w:position w:val="0"/>
          <w:sz w:val="24"/>
          <w:szCs w:val="24"/>
        </w:rPr>
        <w:t xml:space="preserve">, tādējādi pašnodarbinātajiem obligāto iemaksu objekta minimālais apmērs 2016.gadam ir </w:t>
      </w:r>
      <w:r w:rsidRPr="00351E46">
        <w:rPr>
          <w:b/>
          <w:position w:val="0"/>
          <w:sz w:val="24"/>
          <w:szCs w:val="24"/>
        </w:rPr>
        <w:t>4440 </w:t>
      </w:r>
      <w:r w:rsidRPr="00351E46">
        <w:rPr>
          <w:b/>
          <w:i/>
          <w:position w:val="0"/>
          <w:sz w:val="24"/>
          <w:szCs w:val="24"/>
        </w:rPr>
        <w:t>euro</w:t>
      </w:r>
      <w:r w:rsidRPr="00351E46">
        <w:rPr>
          <w:position w:val="0"/>
          <w:sz w:val="24"/>
          <w:szCs w:val="24"/>
        </w:rPr>
        <w:t xml:space="preserve"> (370 </w:t>
      </w:r>
      <w:r w:rsidRPr="00351E46">
        <w:rPr>
          <w:i/>
          <w:position w:val="0"/>
          <w:sz w:val="24"/>
          <w:szCs w:val="24"/>
        </w:rPr>
        <w:t>euro</w:t>
      </w:r>
      <w:r w:rsidRPr="00351E46">
        <w:rPr>
          <w:position w:val="0"/>
          <w:sz w:val="24"/>
          <w:szCs w:val="24"/>
        </w:rPr>
        <w:t xml:space="preserve"> x 12 mēneši). Savukārt obligāto iemaksu objekta minimālais apmērs mēnesim ir </w:t>
      </w:r>
      <w:r w:rsidRPr="00351E46">
        <w:rPr>
          <w:b/>
          <w:position w:val="0"/>
          <w:sz w:val="24"/>
          <w:szCs w:val="24"/>
        </w:rPr>
        <w:t>370 </w:t>
      </w:r>
      <w:r w:rsidRPr="00351E46">
        <w:rPr>
          <w:b/>
          <w:i/>
          <w:position w:val="0"/>
          <w:sz w:val="24"/>
          <w:szCs w:val="24"/>
        </w:rPr>
        <w:t>euro</w:t>
      </w:r>
      <w:r w:rsidRPr="00351E46">
        <w:rPr>
          <w:position w:val="0"/>
          <w:sz w:val="24"/>
          <w:szCs w:val="24"/>
        </w:rPr>
        <w:t>.</w:t>
      </w:r>
    </w:p>
    <w:p w:rsidR="00E96074" w:rsidRDefault="00E96074" w:rsidP="00E96074">
      <w:pPr>
        <w:spacing w:after="0"/>
        <w:jc w:val="both"/>
        <w:rPr>
          <w:rFonts w:ascii="Times New Roman" w:hAnsi="Times New Roman" w:cs="Times New Roman"/>
          <w:sz w:val="24"/>
          <w:szCs w:val="24"/>
        </w:rPr>
      </w:pPr>
    </w:p>
    <w:p w:rsidR="00351E46" w:rsidRPr="00351E46" w:rsidRDefault="00351E46" w:rsidP="00351E46">
      <w:pPr>
        <w:jc w:val="both"/>
        <w:rPr>
          <w:rFonts w:ascii="Times New Roman" w:hAnsi="Times New Roman" w:cs="Times New Roman"/>
          <w:sz w:val="24"/>
          <w:szCs w:val="24"/>
        </w:rPr>
      </w:pPr>
      <w:r w:rsidRPr="00351E46">
        <w:rPr>
          <w:rFonts w:ascii="Times New Roman" w:hAnsi="Times New Roman" w:cs="Times New Roman"/>
          <w:sz w:val="24"/>
          <w:szCs w:val="24"/>
        </w:rPr>
        <w:t>Obligāto iemaksu objekta minimālo apmēru nosaka proporcionāli mēnešu skaitam, kuros persona kalendāra gada laikā atradusies pašnodarbinātā statusā.  Ja persona nav atradusies pašno</w:t>
      </w:r>
      <w:r w:rsidR="00E96074">
        <w:rPr>
          <w:rFonts w:ascii="Times New Roman" w:hAnsi="Times New Roman" w:cs="Times New Roman"/>
          <w:sz w:val="24"/>
          <w:szCs w:val="24"/>
        </w:rPr>
        <w:t>darbinātā statusā visu kalendāro</w:t>
      </w:r>
      <w:r w:rsidRPr="00351E46">
        <w:rPr>
          <w:rFonts w:ascii="Times New Roman" w:hAnsi="Times New Roman" w:cs="Times New Roman"/>
          <w:sz w:val="24"/>
          <w:szCs w:val="24"/>
        </w:rPr>
        <w:t xml:space="preserve"> gadu, obligāto iemaksu objekta gada minimālo apmēru nosaka, mēnešu skaitu, kuros persona atzīstama par pašnodarbinātu, reizinot ar obligāto iemaksu objekta minimālo apmēru mēnesim.</w:t>
      </w:r>
    </w:p>
    <w:p w:rsidR="00351E46" w:rsidRDefault="00351E46" w:rsidP="00351E46">
      <w:pPr>
        <w:jc w:val="both"/>
        <w:rPr>
          <w:i/>
        </w:rPr>
      </w:pPr>
      <w:r w:rsidRPr="00351E46">
        <w:rPr>
          <w:b/>
          <w:i/>
        </w:rPr>
        <w:t>Piemērs:</w:t>
      </w:r>
      <w:r>
        <w:rPr>
          <w:i/>
        </w:rPr>
        <w:t xml:space="preserve"> </w:t>
      </w:r>
      <w:r w:rsidRPr="00CA2382">
        <w:rPr>
          <w:i/>
        </w:rPr>
        <w:t>Nodokļu maksātājs 20</w:t>
      </w:r>
      <w:r>
        <w:rPr>
          <w:i/>
        </w:rPr>
        <w:t>16</w:t>
      </w:r>
      <w:r w:rsidRPr="00CA2382">
        <w:rPr>
          <w:i/>
        </w:rPr>
        <w:t>.gada 6.</w:t>
      </w:r>
      <w:r>
        <w:rPr>
          <w:i/>
        </w:rPr>
        <w:t>februārī</w:t>
      </w:r>
      <w:r w:rsidRPr="00CA2382">
        <w:rPr>
          <w:i/>
        </w:rPr>
        <w:t xml:space="preserve"> reģistrējas </w:t>
      </w:r>
      <w:r>
        <w:rPr>
          <w:i/>
        </w:rPr>
        <w:t>VID</w:t>
      </w:r>
      <w:r w:rsidRPr="00CA2382">
        <w:rPr>
          <w:i/>
        </w:rPr>
        <w:t xml:space="preserve"> </w:t>
      </w:r>
      <w:r>
        <w:rPr>
          <w:i/>
        </w:rPr>
        <w:t>kā saimnieciskās darbības veicējs</w:t>
      </w:r>
      <w:r w:rsidRPr="00CA2382">
        <w:rPr>
          <w:i/>
        </w:rPr>
        <w:t xml:space="preserve">. Šajā gadījumā obligāto iemaksu objekta gada minimālais apmērs </w:t>
      </w:r>
      <w:r>
        <w:rPr>
          <w:i/>
        </w:rPr>
        <w:t>2016.gadam ir</w:t>
      </w:r>
      <w:r w:rsidRPr="00CA2382">
        <w:rPr>
          <w:i/>
        </w:rPr>
        <w:t xml:space="preserve"> </w:t>
      </w:r>
      <w:r>
        <w:rPr>
          <w:i/>
        </w:rPr>
        <w:t>4070 euro</w:t>
      </w:r>
      <w:r w:rsidRPr="00CA2382">
        <w:rPr>
          <w:i/>
        </w:rPr>
        <w:t xml:space="preserve"> (</w:t>
      </w:r>
      <w:r>
        <w:rPr>
          <w:i/>
        </w:rPr>
        <w:t>11</w:t>
      </w:r>
      <w:r w:rsidRPr="00CA2382">
        <w:rPr>
          <w:i/>
        </w:rPr>
        <w:t xml:space="preserve"> mēneši x </w:t>
      </w:r>
      <w:r w:rsidR="006E73B6">
        <w:rPr>
          <w:i/>
        </w:rPr>
        <w:t>37</w:t>
      </w:r>
      <w:r>
        <w:rPr>
          <w:i/>
        </w:rPr>
        <w:t>0 euro</w:t>
      </w:r>
      <w:r w:rsidRPr="00CA2382">
        <w:rPr>
          <w:i/>
        </w:rPr>
        <w:t>)</w:t>
      </w:r>
      <w:r>
        <w:rPr>
          <w:i/>
        </w:rPr>
        <w:t>, nevis 4440 euro</w:t>
      </w:r>
      <w:r w:rsidRPr="00CA2382">
        <w:rPr>
          <w:i/>
        </w:rPr>
        <w:t>.</w:t>
      </w:r>
    </w:p>
    <w:p w:rsidR="00351E46" w:rsidRPr="00351E46" w:rsidRDefault="00351E46" w:rsidP="00351E46">
      <w:pPr>
        <w:tabs>
          <w:tab w:val="left" w:pos="720"/>
        </w:tabs>
        <w:ind w:firstLine="720"/>
        <w:jc w:val="both"/>
        <w:rPr>
          <w:rFonts w:ascii="Times New Roman" w:hAnsi="Times New Roman" w:cs="Times New Roman"/>
          <w:sz w:val="24"/>
          <w:szCs w:val="24"/>
        </w:rPr>
      </w:pPr>
      <w:r w:rsidRPr="00351E46">
        <w:rPr>
          <w:rFonts w:ascii="Times New Roman" w:hAnsi="Times New Roman" w:cs="Times New Roman"/>
          <w:sz w:val="24"/>
          <w:szCs w:val="24"/>
        </w:rPr>
        <w:t xml:space="preserve">Pašnodarbinātie obligāto iemaksu objekta noteikšanas vajadzībām </w:t>
      </w:r>
      <w:r w:rsidRPr="00351E46">
        <w:rPr>
          <w:rFonts w:ascii="Times New Roman" w:hAnsi="Times New Roman" w:cs="Times New Roman"/>
          <w:b/>
          <w:sz w:val="24"/>
          <w:szCs w:val="24"/>
        </w:rPr>
        <w:t>ienākumu</w:t>
      </w:r>
      <w:r w:rsidRPr="00351E46">
        <w:rPr>
          <w:rFonts w:ascii="Times New Roman" w:hAnsi="Times New Roman" w:cs="Times New Roman"/>
          <w:sz w:val="24"/>
          <w:szCs w:val="24"/>
        </w:rPr>
        <w:t xml:space="preserve">, no kura </w:t>
      </w:r>
      <w:bookmarkStart w:id="0" w:name="_GoBack"/>
      <w:bookmarkEnd w:id="0"/>
      <w:r w:rsidRPr="00351E46">
        <w:rPr>
          <w:rFonts w:ascii="Times New Roman" w:hAnsi="Times New Roman" w:cs="Times New Roman"/>
          <w:sz w:val="24"/>
          <w:szCs w:val="24"/>
        </w:rPr>
        <w:t xml:space="preserve">veicamas obligātās iemaksas, nosaka kā konkrētā mēneša saimnieciskās darbības ieņēmumu un ar to gūšanu saistīto izdevumu starpību. </w:t>
      </w:r>
    </w:p>
    <w:p w:rsidR="00351E46" w:rsidRDefault="00351E46" w:rsidP="00351E46">
      <w:pPr>
        <w:tabs>
          <w:tab w:val="left" w:pos="720"/>
        </w:tabs>
        <w:jc w:val="both"/>
        <w:rPr>
          <w:szCs w:val="28"/>
        </w:rPr>
      </w:pPr>
    </w:p>
    <w:p w:rsidR="00351E46" w:rsidRPr="00351E46" w:rsidRDefault="00351E46" w:rsidP="00351E46">
      <w:pPr>
        <w:tabs>
          <w:tab w:val="left" w:pos="720"/>
        </w:tabs>
        <w:jc w:val="both"/>
        <w:rPr>
          <w:i/>
          <w:sz w:val="24"/>
          <w:szCs w:val="24"/>
        </w:rPr>
      </w:pPr>
      <w:r w:rsidRPr="00351E46">
        <w:rPr>
          <w:b/>
          <w:i/>
          <w:sz w:val="24"/>
          <w:szCs w:val="24"/>
        </w:rPr>
        <w:t xml:space="preserve">Piemērs: </w:t>
      </w:r>
      <w:r w:rsidRPr="00351E46">
        <w:rPr>
          <w:i/>
          <w:sz w:val="24"/>
          <w:szCs w:val="24"/>
        </w:rPr>
        <w:t>Pašnodarbinātajam, kas nodarbojas ar friziera pakalpojumu sniegšanu, ir šādi ieņēmumi un izdevumi:</w:t>
      </w:r>
    </w:p>
    <w:p w:rsidR="00351E46" w:rsidRPr="00351E46" w:rsidRDefault="00351E46" w:rsidP="00351E46">
      <w:pPr>
        <w:numPr>
          <w:ilvl w:val="0"/>
          <w:numId w:val="2"/>
        </w:numPr>
        <w:tabs>
          <w:tab w:val="left" w:pos="720"/>
        </w:tabs>
        <w:spacing w:after="0" w:line="240" w:lineRule="auto"/>
        <w:jc w:val="both"/>
        <w:rPr>
          <w:i/>
          <w:sz w:val="24"/>
          <w:szCs w:val="24"/>
        </w:rPr>
      </w:pPr>
      <w:r w:rsidRPr="00351E46">
        <w:rPr>
          <w:i/>
          <w:sz w:val="24"/>
          <w:szCs w:val="24"/>
        </w:rPr>
        <w:t>janvārī: ieņēmumi – 570 euro, izdevumi – 200 euro;</w:t>
      </w:r>
    </w:p>
    <w:p w:rsidR="00351E46" w:rsidRPr="00351E46" w:rsidRDefault="00351E46" w:rsidP="00351E46">
      <w:pPr>
        <w:numPr>
          <w:ilvl w:val="0"/>
          <w:numId w:val="2"/>
        </w:numPr>
        <w:tabs>
          <w:tab w:val="left" w:pos="720"/>
        </w:tabs>
        <w:spacing w:after="0" w:line="240" w:lineRule="auto"/>
        <w:jc w:val="both"/>
        <w:rPr>
          <w:i/>
          <w:sz w:val="24"/>
          <w:szCs w:val="24"/>
        </w:rPr>
      </w:pPr>
      <w:r w:rsidRPr="00351E46">
        <w:rPr>
          <w:i/>
          <w:sz w:val="24"/>
          <w:szCs w:val="24"/>
        </w:rPr>
        <w:t>februārī: ieņēmumi – 0 euro , izdevumi – 70 euro;</w:t>
      </w:r>
    </w:p>
    <w:p w:rsidR="00351E46" w:rsidRPr="00351E46" w:rsidRDefault="00351E46" w:rsidP="00351E46">
      <w:pPr>
        <w:numPr>
          <w:ilvl w:val="0"/>
          <w:numId w:val="2"/>
        </w:numPr>
        <w:tabs>
          <w:tab w:val="left" w:pos="720"/>
        </w:tabs>
        <w:spacing w:after="0" w:line="240" w:lineRule="auto"/>
        <w:jc w:val="both"/>
        <w:rPr>
          <w:i/>
          <w:sz w:val="24"/>
          <w:szCs w:val="24"/>
        </w:rPr>
      </w:pPr>
      <w:r w:rsidRPr="00351E46">
        <w:rPr>
          <w:i/>
          <w:sz w:val="24"/>
          <w:szCs w:val="24"/>
        </w:rPr>
        <w:t>martā: ieņēmumi – 200 euro, izdevumi – 50 euro.</w:t>
      </w:r>
    </w:p>
    <w:p w:rsidR="00351E46" w:rsidRPr="00351E46" w:rsidRDefault="00351E46" w:rsidP="00351E46">
      <w:pPr>
        <w:tabs>
          <w:tab w:val="left" w:pos="720"/>
        </w:tabs>
        <w:ind w:firstLine="720"/>
        <w:jc w:val="both"/>
        <w:rPr>
          <w:i/>
          <w:sz w:val="24"/>
          <w:szCs w:val="24"/>
        </w:rPr>
      </w:pPr>
      <w:r w:rsidRPr="00351E46">
        <w:rPr>
          <w:i/>
          <w:sz w:val="24"/>
          <w:szCs w:val="24"/>
        </w:rPr>
        <w:t xml:space="preserve">Lai noteiktu, par kuriem ceturkšņa mēnešiem jāveic obligātās iemaksas, pašnodarbinātais nosaka katra mēneša ienākumus (t.i., no </w:t>
      </w:r>
      <w:r w:rsidRPr="0057217B">
        <w:rPr>
          <w:b/>
          <w:i/>
          <w:sz w:val="24"/>
          <w:szCs w:val="24"/>
        </w:rPr>
        <w:t>ieņēmumiem atņem izdevumus</w:t>
      </w:r>
      <w:r w:rsidRPr="00351E46">
        <w:rPr>
          <w:i/>
          <w:sz w:val="24"/>
          <w:szCs w:val="24"/>
        </w:rPr>
        <w:t>):</w:t>
      </w:r>
    </w:p>
    <w:p w:rsidR="00351E46" w:rsidRPr="00351E46" w:rsidRDefault="00351E46" w:rsidP="00351E46">
      <w:pPr>
        <w:numPr>
          <w:ilvl w:val="0"/>
          <w:numId w:val="3"/>
        </w:numPr>
        <w:tabs>
          <w:tab w:val="left" w:pos="720"/>
        </w:tabs>
        <w:spacing w:after="0" w:line="240" w:lineRule="auto"/>
        <w:jc w:val="both"/>
        <w:rPr>
          <w:i/>
          <w:sz w:val="24"/>
          <w:szCs w:val="24"/>
        </w:rPr>
      </w:pPr>
      <w:r w:rsidRPr="00351E46">
        <w:rPr>
          <w:i/>
          <w:sz w:val="24"/>
          <w:szCs w:val="24"/>
        </w:rPr>
        <w:t>janvāra ienākumi ir 370 euro (570 euro – 200  euro);</w:t>
      </w:r>
    </w:p>
    <w:p w:rsidR="00351E46" w:rsidRPr="00351E46" w:rsidRDefault="00351E46" w:rsidP="00351E46">
      <w:pPr>
        <w:numPr>
          <w:ilvl w:val="0"/>
          <w:numId w:val="3"/>
        </w:numPr>
        <w:tabs>
          <w:tab w:val="left" w:pos="720"/>
        </w:tabs>
        <w:spacing w:after="0" w:line="240" w:lineRule="auto"/>
        <w:jc w:val="both"/>
        <w:rPr>
          <w:i/>
          <w:sz w:val="24"/>
          <w:szCs w:val="24"/>
        </w:rPr>
      </w:pPr>
      <w:r w:rsidRPr="00351E46">
        <w:rPr>
          <w:i/>
          <w:sz w:val="24"/>
          <w:szCs w:val="24"/>
        </w:rPr>
        <w:t>februārī ienākumu nav, bet ir zaudējumi 70 euro (0 euro – 70 euro);</w:t>
      </w:r>
    </w:p>
    <w:p w:rsidR="00351E46" w:rsidRPr="00351E46" w:rsidRDefault="00351E46" w:rsidP="00351E46">
      <w:pPr>
        <w:numPr>
          <w:ilvl w:val="0"/>
          <w:numId w:val="3"/>
        </w:numPr>
        <w:tabs>
          <w:tab w:val="left" w:pos="720"/>
        </w:tabs>
        <w:spacing w:after="0" w:line="240" w:lineRule="auto"/>
        <w:jc w:val="both"/>
        <w:rPr>
          <w:i/>
          <w:sz w:val="24"/>
          <w:szCs w:val="24"/>
        </w:rPr>
      </w:pPr>
      <w:r w:rsidRPr="00351E46">
        <w:rPr>
          <w:i/>
          <w:sz w:val="24"/>
          <w:szCs w:val="24"/>
        </w:rPr>
        <w:t>marta ienākumi ir 150 euro (200 euro – 50 euro).</w:t>
      </w:r>
    </w:p>
    <w:p w:rsidR="00351E46" w:rsidRPr="00351E46" w:rsidRDefault="00351E46" w:rsidP="00351E46">
      <w:pPr>
        <w:tabs>
          <w:tab w:val="left" w:pos="720"/>
        </w:tabs>
        <w:ind w:firstLine="720"/>
        <w:jc w:val="both"/>
        <w:rPr>
          <w:i/>
          <w:sz w:val="24"/>
          <w:szCs w:val="24"/>
        </w:rPr>
      </w:pPr>
      <w:r w:rsidRPr="00351E46">
        <w:rPr>
          <w:i/>
          <w:sz w:val="24"/>
          <w:szCs w:val="24"/>
        </w:rPr>
        <w:t>Obligātās iemaksas veic tikai par janvāri, jo pašnodarbinātā ienākumi no saimnieciskās darbības šajā mēnesī ir sasnieguši minimālo obligāto iemaksu objektu mēnesim, t.i., 370 euro.</w:t>
      </w:r>
    </w:p>
    <w:p w:rsidR="00351E46" w:rsidRDefault="00351E46" w:rsidP="00351E46">
      <w:pPr>
        <w:ind w:firstLine="720"/>
        <w:jc w:val="both"/>
        <w:rPr>
          <w:i/>
        </w:rPr>
      </w:pPr>
    </w:p>
    <w:p w:rsidR="00351E46" w:rsidRDefault="00351E46" w:rsidP="00351E46">
      <w:pPr>
        <w:jc w:val="both"/>
        <w:rPr>
          <w:b/>
          <w:i/>
        </w:rPr>
      </w:pPr>
    </w:p>
    <w:p w:rsidR="00502A99" w:rsidRDefault="00502A99" w:rsidP="00351E46">
      <w:pPr>
        <w:jc w:val="both"/>
        <w:rPr>
          <w:b/>
          <w:i/>
        </w:rPr>
      </w:pPr>
    </w:p>
    <w:p w:rsidR="00502A99" w:rsidRDefault="00502A99" w:rsidP="00351E46">
      <w:pPr>
        <w:jc w:val="both"/>
        <w:rPr>
          <w:b/>
          <w:i/>
        </w:rPr>
      </w:pPr>
    </w:p>
    <w:p w:rsidR="00502A99" w:rsidRDefault="00502A99" w:rsidP="00351E46">
      <w:pPr>
        <w:jc w:val="both"/>
        <w:rPr>
          <w:b/>
          <w:i/>
        </w:rPr>
      </w:pPr>
    </w:p>
    <w:p w:rsidR="00925A62" w:rsidRDefault="00925A62" w:rsidP="00351E46">
      <w:pPr>
        <w:jc w:val="both"/>
        <w:rPr>
          <w:b/>
          <w:i/>
        </w:rPr>
      </w:pPr>
    </w:p>
    <w:p w:rsidR="00502A99" w:rsidRDefault="00502A99" w:rsidP="00351E46">
      <w:pPr>
        <w:jc w:val="both"/>
        <w:rPr>
          <w:b/>
          <w:i/>
        </w:rPr>
      </w:pPr>
    </w:p>
    <w:p w:rsidR="00502A99" w:rsidRDefault="00502A99" w:rsidP="00351E46">
      <w:pPr>
        <w:jc w:val="both"/>
        <w:rPr>
          <w:b/>
          <w:i/>
        </w:rPr>
      </w:pPr>
    </w:p>
    <w:p w:rsidR="00351E46" w:rsidRDefault="00351E46" w:rsidP="00351E46">
      <w:pPr>
        <w:jc w:val="both"/>
        <w:rPr>
          <w:b/>
          <w:i/>
        </w:rPr>
      </w:pPr>
    </w:p>
    <w:p w:rsidR="00351E46" w:rsidRPr="00351E46" w:rsidRDefault="00351E46" w:rsidP="00351E46">
      <w:pPr>
        <w:jc w:val="both"/>
        <w:rPr>
          <w:i/>
          <w:sz w:val="24"/>
          <w:szCs w:val="24"/>
        </w:rPr>
      </w:pPr>
      <w:r w:rsidRPr="00351E46">
        <w:rPr>
          <w:b/>
          <w:i/>
          <w:sz w:val="24"/>
          <w:szCs w:val="24"/>
        </w:rPr>
        <w:lastRenderedPageBreak/>
        <w:t>Piemērs:</w:t>
      </w:r>
      <w:r w:rsidRPr="00351E46">
        <w:rPr>
          <w:i/>
          <w:sz w:val="24"/>
          <w:szCs w:val="24"/>
        </w:rPr>
        <w:t xml:space="preserve"> Personai ir pašnodarbinātā statuss visu kalendāra gadu.</w:t>
      </w:r>
    </w:p>
    <w:tbl>
      <w:tblPr>
        <w:tblW w:w="9269" w:type="dxa"/>
        <w:tblInd w:w="5" w:type="dxa"/>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ayout w:type="fixed"/>
        <w:tblCellMar>
          <w:left w:w="0" w:type="dxa"/>
          <w:right w:w="0" w:type="dxa"/>
        </w:tblCellMar>
        <w:tblLook w:val="0000"/>
      </w:tblPr>
      <w:tblGrid>
        <w:gridCol w:w="936"/>
        <w:gridCol w:w="2458"/>
        <w:gridCol w:w="2612"/>
        <w:gridCol w:w="3263"/>
      </w:tblGrid>
      <w:tr w:rsidR="00351E46" w:rsidRPr="00614191" w:rsidTr="00A4184C">
        <w:trPr>
          <w:trHeight w:val="1721"/>
        </w:trPr>
        <w:tc>
          <w:tcPr>
            <w:tcW w:w="936" w:type="dxa"/>
            <w:shd w:val="clear" w:color="auto" w:fill="8DB3E2"/>
            <w:vAlign w:val="center"/>
          </w:tcPr>
          <w:p w:rsidR="00351E46" w:rsidRPr="00A82EB3" w:rsidRDefault="00351E46" w:rsidP="00A4184C">
            <w:pPr>
              <w:jc w:val="center"/>
              <w:rPr>
                <w:b/>
                <w:i/>
                <w:sz w:val="24"/>
                <w:szCs w:val="24"/>
              </w:rPr>
            </w:pPr>
            <w:r w:rsidRPr="00A82EB3">
              <w:rPr>
                <w:b/>
                <w:i/>
                <w:sz w:val="24"/>
                <w:szCs w:val="24"/>
              </w:rPr>
              <w:t>Mēnesis</w:t>
            </w:r>
          </w:p>
        </w:tc>
        <w:tc>
          <w:tcPr>
            <w:tcW w:w="2458" w:type="dxa"/>
            <w:shd w:val="clear" w:color="auto" w:fill="8DB3E2"/>
            <w:vAlign w:val="center"/>
          </w:tcPr>
          <w:p w:rsidR="00351E46" w:rsidRPr="00A82EB3" w:rsidRDefault="00351E46" w:rsidP="00A4184C">
            <w:pPr>
              <w:jc w:val="center"/>
              <w:rPr>
                <w:b/>
                <w:i/>
                <w:sz w:val="24"/>
                <w:szCs w:val="24"/>
              </w:rPr>
            </w:pPr>
            <w:r w:rsidRPr="00A82EB3">
              <w:rPr>
                <w:b/>
                <w:i/>
                <w:sz w:val="24"/>
                <w:szCs w:val="24"/>
              </w:rPr>
              <w:t>Ienākumi mēnesī (euro) pēc saimnieciskās darbības ieņēmumu un izdevumu uzskaites žurnāla datiem</w:t>
            </w:r>
          </w:p>
        </w:tc>
        <w:tc>
          <w:tcPr>
            <w:tcW w:w="2612" w:type="dxa"/>
            <w:shd w:val="clear" w:color="auto" w:fill="8DB3E2"/>
            <w:vAlign w:val="center"/>
          </w:tcPr>
          <w:p w:rsidR="00351E46" w:rsidRPr="00A82EB3" w:rsidRDefault="00351E46" w:rsidP="00A4184C">
            <w:pPr>
              <w:jc w:val="center"/>
              <w:rPr>
                <w:b/>
                <w:i/>
                <w:sz w:val="24"/>
                <w:szCs w:val="24"/>
              </w:rPr>
            </w:pPr>
            <w:r w:rsidRPr="00A82EB3">
              <w:rPr>
                <w:b/>
                <w:i/>
                <w:sz w:val="24"/>
                <w:szCs w:val="24"/>
              </w:rPr>
              <w:t>Saimnieciskās darbības ienākumi (euro), skaitot no gada sākuma</w:t>
            </w:r>
          </w:p>
        </w:tc>
        <w:tc>
          <w:tcPr>
            <w:tcW w:w="3263" w:type="dxa"/>
            <w:shd w:val="clear" w:color="auto" w:fill="8DB3E2"/>
            <w:vAlign w:val="center"/>
          </w:tcPr>
          <w:p w:rsidR="00351E46" w:rsidRPr="00A82EB3" w:rsidRDefault="00351E46" w:rsidP="00A4184C">
            <w:pPr>
              <w:jc w:val="center"/>
              <w:rPr>
                <w:b/>
                <w:i/>
                <w:sz w:val="24"/>
                <w:szCs w:val="24"/>
              </w:rPr>
            </w:pPr>
            <w:r w:rsidRPr="00A82EB3">
              <w:rPr>
                <w:b/>
                <w:i/>
                <w:sz w:val="24"/>
                <w:szCs w:val="24"/>
              </w:rPr>
              <w:t>Obligāto iemaksu objekta minimālais apmērā (euro), no kura jāveic iemaksas</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I</w:t>
            </w:r>
          </w:p>
        </w:tc>
        <w:tc>
          <w:tcPr>
            <w:tcW w:w="2458" w:type="dxa"/>
            <w:shd w:val="clear" w:color="auto" w:fill="FBD4B4"/>
            <w:vAlign w:val="center"/>
          </w:tcPr>
          <w:p w:rsidR="00351E46" w:rsidRPr="00614191" w:rsidRDefault="00351E46" w:rsidP="00A4184C">
            <w:pPr>
              <w:jc w:val="center"/>
              <w:rPr>
                <w:szCs w:val="28"/>
                <w:highlight w:val="yellow"/>
              </w:rPr>
            </w:pPr>
            <w:r>
              <w:rPr>
                <w:szCs w:val="28"/>
              </w:rPr>
              <w:t>120</w:t>
            </w:r>
          </w:p>
        </w:tc>
        <w:tc>
          <w:tcPr>
            <w:tcW w:w="2612" w:type="dxa"/>
            <w:shd w:val="clear" w:color="auto" w:fill="FBD4B4"/>
            <w:vAlign w:val="center"/>
          </w:tcPr>
          <w:p w:rsidR="00351E46" w:rsidRPr="00614191" w:rsidRDefault="00351E46" w:rsidP="00A4184C">
            <w:pPr>
              <w:jc w:val="center"/>
              <w:rPr>
                <w:szCs w:val="28"/>
              </w:rPr>
            </w:pPr>
            <w:r>
              <w:rPr>
                <w:szCs w:val="28"/>
              </w:rPr>
              <w:t>120</w:t>
            </w:r>
          </w:p>
        </w:tc>
        <w:tc>
          <w:tcPr>
            <w:tcW w:w="3263" w:type="dxa"/>
            <w:shd w:val="clear" w:color="auto" w:fill="FBD4B4"/>
            <w:vAlign w:val="center"/>
          </w:tcPr>
          <w:p w:rsidR="00351E46" w:rsidRPr="00614191" w:rsidRDefault="00351E46" w:rsidP="00A4184C">
            <w:pPr>
              <w:jc w:val="center"/>
              <w:rPr>
                <w:szCs w:val="28"/>
              </w:rPr>
            </w:pPr>
            <w:r w:rsidRPr="00614191">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II</w:t>
            </w:r>
          </w:p>
        </w:tc>
        <w:tc>
          <w:tcPr>
            <w:tcW w:w="2458" w:type="dxa"/>
            <w:shd w:val="clear" w:color="auto" w:fill="FBD4B4"/>
            <w:vAlign w:val="center"/>
          </w:tcPr>
          <w:p w:rsidR="00351E46" w:rsidRPr="00614191" w:rsidRDefault="00351E46" w:rsidP="00A4184C">
            <w:pPr>
              <w:jc w:val="center"/>
              <w:rPr>
                <w:szCs w:val="28"/>
              </w:rPr>
            </w:pPr>
            <w:r>
              <w:rPr>
                <w:szCs w:val="28"/>
              </w:rPr>
              <w:t>100</w:t>
            </w:r>
          </w:p>
        </w:tc>
        <w:tc>
          <w:tcPr>
            <w:tcW w:w="2612" w:type="dxa"/>
            <w:shd w:val="clear" w:color="auto" w:fill="FBD4B4"/>
            <w:vAlign w:val="center"/>
          </w:tcPr>
          <w:p w:rsidR="00351E46" w:rsidRPr="00614191" w:rsidRDefault="00351E46" w:rsidP="00A4184C">
            <w:pPr>
              <w:jc w:val="center"/>
              <w:rPr>
                <w:szCs w:val="28"/>
              </w:rPr>
            </w:pPr>
            <w:r>
              <w:rPr>
                <w:szCs w:val="28"/>
              </w:rPr>
              <w:t>220</w:t>
            </w:r>
          </w:p>
        </w:tc>
        <w:tc>
          <w:tcPr>
            <w:tcW w:w="3263" w:type="dxa"/>
            <w:shd w:val="clear" w:color="auto" w:fill="FBD4B4"/>
            <w:vAlign w:val="center"/>
          </w:tcPr>
          <w:p w:rsidR="00351E46" w:rsidRPr="00614191" w:rsidRDefault="00351E46" w:rsidP="00A4184C">
            <w:pPr>
              <w:jc w:val="center"/>
              <w:rPr>
                <w:szCs w:val="28"/>
              </w:rPr>
            </w:pPr>
            <w:r w:rsidRPr="00614191">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III</w:t>
            </w:r>
          </w:p>
        </w:tc>
        <w:tc>
          <w:tcPr>
            <w:tcW w:w="2458" w:type="dxa"/>
            <w:shd w:val="clear" w:color="auto" w:fill="FBD4B4"/>
            <w:vAlign w:val="center"/>
          </w:tcPr>
          <w:p w:rsidR="00351E46" w:rsidRPr="00614191" w:rsidRDefault="00351E46" w:rsidP="00A4184C">
            <w:pPr>
              <w:jc w:val="center"/>
              <w:rPr>
                <w:szCs w:val="28"/>
              </w:rPr>
            </w:pPr>
            <w:r>
              <w:rPr>
                <w:szCs w:val="28"/>
              </w:rPr>
              <w:t>370</w:t>
            </w:r>
          </w:p>
        </w:tc>
        <w:tc>
          <w:tcPr>
            <w:tcW w:w="2612" w:type="dxa"/>
            <w:shd w:val="clear" w:color="auto" w:fill="FBD4B4"/>
            <w:vAlign w:val="center"/>
          </w:tcPr>
          <w:p w:rsidR="00351E46" w:rsidRPr="00614191" w:rsidRDefault="0057217B" w:rsidP="00A4184C">
            <w:pPr>
              <w:jc w:val="center"/>
              <w:rPr>
                <w:szCs w:val="28"/>
              </w:rPr>
            </w:pPr>
            <w:r>
              <w:rPr>
                <w:szCs w:val="28"/>
              </w:rPr>
              <w:t>59</w:t>
            </w:r>
            <w:r w:rsidR="00351E46">
              <w:rPr>
                <w:szCs w:val="28"/>
              </w:rPr>
              <w:t>0</w:t>
            </w:r>
          </w:p>
        </w:tc>
        <w:tc>
          <w:tcPr>
            <w:tcW w:w="3263" w:type="dxa"/>
            <w:shd w:val="clear" w:color="auto" w:fill="FBD4B4"/>
            <w:vAlign w:val="center"/>
          </w:tcPr>
          <w:p w:rsidR="00351E46" w:rsidRPr="00614191" w:rsidRDefault="0057217B" w:rsidP="00A4184C">
            <w:pPr>
              <w:jc w:val="center"/>
              <w:rPr>
                <w:szCs w:val="28"/>
              </w:rPr>
            </w:pPr>
            <w:r>
              <w:rPr>
                <w:szCs w:val="28"/>
              </w:rPr>
              <w:t>37</w:t>
            </w:r>
            <w:r w:rsidR="00351E46">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IV</w:t>
            </w:r>
          </w:p>
        </w:tc>
        <w:tc>
          <w:tcPr>
            <w:tcW w:w="2458" w:type="dxa"/>
            <w:shd w:val="clear" w:color="auto" w:fill="FBD4B4"/>
            <w:vAlign w:val="center"/>
          </w:tcPr>
          <w:p w:rsidR="00351E46" w:rsidRPr="00614191" w:rsidRDefault="00351E46" w:rsidP="00A4184C">
            <w:pPr>
              <w:jc w:val="center"/>
              <w:rPr>
                <w:szCs w:val="28"/>
                <w:highlight w:val="yellow"/>
              </w:rPr>
            </w:pPr>
            <w:r>
              <w:rPr>
                <w:szCs w:val="28"/>
              </w:rPr>
              <w:t>370</w:t>
            </w:r>
          </w:p>
        </w:tc>
        <w:tc>
          <w:tcPr>
            <w:tcW w:w="2612" w:type="dxa"/>
            <w:shd w:val="clear" w:color="auto" w:fill="FBD4B4"/>
            <w:vAlign w:val="center"/>
          </w:tcPr>
          <w:p w:rsidR="00351E46" w:rsidRPr="00614191" w:rsidRDefault="005A5505" w:rsidP="00A4184C">
            <w:pPr>
              <w:jc w:val="center"/>
              <w:rPr>
                <w:szCs w:val="28"/>
              </w:rPr>
            </w:pPr>
            <w:r>
              <w:rPr>
                <w:szCs w:val="28"/>
              </w:rPr>
              <w:t>96</w:t>
            </w:r>
            <w:r w:rsidR="00351E46">
              <w:rPr>
                <w:szCs w:val="28"/>
              </w:rPr>
              <w:t>0</w:t>
            </w:r>
          </w:p>
        </w:tc>
        <w:tc>
          <w:tcPr>
            <w:tcW w:w="3263" w:type="dxa"/>
            <w:shd w:val="clear" w:color="auto" w:fill="FBD4B4"/>
            <w:vAlign w:val="center"/>
          </w:tcPr>
          <w:p w:rsidR="00351E46" w:rsidRPr="00614191" w:rsidRDefault="0057217B" w:rsidP="00A4184C">
            <w:pPr>
              <w:jc w:val="center"/>
              <w:rPr>
                <w:szCs w:val="28"/>
                <w:highlight w:val="yellow"/>
              </w:rPr>
            </w:pPr>
            <w:r>
              <w:rPr>
                <w:szCs w:val="28"/>
              </w:rPr>
              <w:t>37</w:t>
            </w:r>
            <w:r w:rsidR="00351E46">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V</w:t>
            </w:r>
          </w:p>
        </w:tc>
        <w:tc>
          <w:tcPr>
            <w:tcW w:w="2458" w:type="dxa"/>
            <w:shd w:val="clear" w:color="auto" w:fill="FBD4B4"/>
            <w:vAlign w:val="center"/>
          </w:tcPr>
          <w:p w:rsidR="00351E46" w:rsidRPr="00614191" w:rsidRDefault="00351E46" w:rsidP="00A4184C">
            <w:pPr>
              <w:jc w:val="center"/>
              <w:rPr>
                <w:szCs w:val="28"/>
                <w:highlight w:val="yellow"/>
              </w:rPr>
            </w:pPr>
            <w:r w:rsidRPr="00614191">
              <w:rPr>
                <w:szCs w:val="28"/>
              </w:rPr>
              <w:t>-</w:t>
            </w:r>
            <w:r>
              <w:rPr>
                <w:szCs w:val="28"/>
              </w:rPr>
              <w:t>10</w:t>
            </w:r>
          </w:p>
        </w:tc>
        <w:tc>
          <w:tcPr>
            <w:tcW w:w="2612" w:type="dxa"/>
            <w:shd w:val="clear" w:color="auto" w:fill="FBD4B4"/>
            <w:vAlign w:val="center"/>
          </w:tcPr>
          <w:p w:rsidR="00351E46" w:rsidRPr="00614191" w:rsidRDefault="005A5505" w:rsidP="00A4184C">
            <w:pPr>
              <w:jc w:val="center"/>
              <w:rPr>
                <w:szCs w:val="28"/>
              </w:rPr>
            </w:pPr>
            <w:r>
              <w:rPr>
                <w:szCs w:val="28"/>
              </w:rPr>
              <w:t>95</w:t>
            </w:r>
            <w:r w:rsidR="00351E46">
              <w:rPr>
                <w:szCs w:val="28"/>
              </w:rPr>
              <w:t>0</w:t>
            </w:r>
          </w:p>
        </w:tc>
        <w:tc>
          <w:tcPr>
            <w:tcW w:w="3263" w:type="dxa"/>
            <w:shd w:val="clear" w:color="auto" w:fill="FBD4B4"/>
            <w:vAlign w:val="center"/>
          </w:tcPr>
          <w:p w:rsidR="00351E46" w:rsidRPr="00614191" w:rsidRDefault="00351E46" w:rsidP="00A4184C">
            <w:pPr>
              <w:jc w:val="center"/>
              <w:rPr>
                <w:szCs w:val="28"/>
                <w:highlight w:val="yellow"/>
              </w:rPr>
            </w:pPr>
            <w:r w:rsidRPr="00614191">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VI</w:t>
            </w:r>
          </w:p>
        </w:tc>
        <w:tc>
          <w:tcPr>
            <w:tcW w:w="2458" w:type="dxa"/>
            <w:shd w:val="clear" w:color="auto" w:fill="FBD4B4"/>
            <w:vAlign w:val="center"/>
          </w:tcPr>
          <w:p w:rsidR="00351E46" w:rsidRPr="00614191" w:rsidRDefault="00351E46" w:rsidP="00A4184C">
            <w:pPr>
              <w:jc w:val="center"/>
              <w:rPr>
                <w:szCs w:val="28"/>
                <w:highlight w:val="yellow"/>
              </w:rPr>
            </w:pPr>
            <w:r>
              <w:rPr>
                <w:szCs w:val="28"/>
              </w:rPr>
              <w:t>600</w:t>
            </w:r>
          </w:p>
        </w:tc>
        <w:tc>
          <w:tcPr>
            <w:tcW w:w="2612" w:type="dxa"/>
            <w:shd w:val="clear" w:color="auto" w:fill="FBD4B4"/>
            <w:vAlign w:val="center"/>
          </w:tcPr>
          <w:p w:rsidR="00351E46" w:rsidRPr="00614191" w:rsidRDefault="005A5505" w:rsidP="00A4184C">
            <w:pPr>
              <w:jc w:val="center"/>
              <w:rPr>
                <w:szCs w:val="28"/>
              </w:rPr>
            </w:pPr>
            <w:r>
              <w:rPr>
                <w:szCs w:val="28"/>
              </w:rPr>
              <w:t>155</w:t>
            </w:r>
            <w:r w:rsidR="00351E46">
              <w:rPr>
                <w:szCs w:val="28"/>
              </w:rPr>
              <w:t>0</w:t>
            </w:r>
          </w:p>
        </w:tc>
        <w:tc>
          <w:tcPr>
            <w:tcW w:w="3263" w:type="dxa"/>
            <w:shd w:val="clear" w:color="auto" w:fill="FBD4B4"/>
            <w:vAlign w:val="center"/>
          </w:tcPr>
          <w:p w:rsidR="00351E46" w:rsidRPr="00614191" w:rsidRDefault="0057217B" w:rsidP="00A4184C">
            <w:pPr>
              <w:jc w:val="center"/>
              <w:rPr>
                <w:szCs w:val="28"/>
                <w:highlight w:val="yellow"/>
              </w:rPr>
            </w:pPr>
            <w:r>
              <w:rPr>
                <w:szCs w:val="28"/>
              </w:rPr>
              <w:t>37</w:t>
            </w:r>
            <w:r w:rsidR="00351E46">
              <w:rPr>
                <w:szCs w:val="28"/>
              </w:rPr>
              <w:t>0</w:t>
            </w:r>
          </w:p>
        </w:tc>
      </w:tr>
      <w:tr w:rsidR="00351E46" w:rsidRPr="00614191" w:rsidTr="00A4184C">
        <w:trPr>
          <w:trHeight w:val="279"/>
        </w:trPr>
        <w:tc>
          <w:tcPr>
            <w:tcW w:w="936" w:type="dxa"/>
            <w:shd w:val="clear" w:color="auto" w:fill="FBD4B4"/>
            <w:vAlign w:val="center"/>
          </w:tcPr>
          <w:p w:rsidR="00351E46" w:rsidRPr="00614191" w:rsidRDefault="00351E46" w:rsidP="00A4184C">
            <w:pPr>
              <w:jc w:val="center"/>
              <w:rPr>
                <w:szCs w:val="28"/>
              </w:rPr>
            </w:pPr>
            <w:r w:rsidRPr="00614191">
              <w:rPr>
                <w:szCs w:val="28"/>
              </w:rPr>
              <w:t>VII</w:t>
            </w:r>
          </w:p>
        </w:tc>
        <w:tc>
          <w:tcPr>
            <w:tcW w:w="2458" w:type="dxa"/>
            <w:shd w:val="clear" w:color="auto" w:fill="FBD4B4"/>
            <w:vAlign w:val="center"/>
          </w:tcPr>
          <w:p w:rsidR="00351E46" w:rsidRPr="00614191" w:rsidRDefault="00351E46" w:rsidP="00A4184C">
            <w:pPr>
              <w:jc w:val="center"/>
              <w:rPr>
                <w:szCs w:val="28"/>
                <w:highlight w:val="yellow"/>
              </w:rPr>
            </w:pPr>
            <w:r>
              <w:rPr>
                <w:szCs w:val="28"/>
              </w:rPr>
              <w:t>170</w:t>
            </w:r>
          </w:p>
        </w:tc>
        <w:tc>
          <w:tcPr>
            <w:tcW w:w="2612" w:type="dxa"/>
            <w:shd w:val="clear" w:color="auto" w:fill="FBD4B4"/>
            <w:vAlign w:val="center"/>
          </w:tcPr>
          <w:p w:rsidR="00351E46" w:rsidRPr="00614191" w:rsidRDefault="005A5505" w:rsidP="00A4184C">
            <w:pPr>
              <w:jc w:val="center"/>
              <w:rPr>
                <w:szCs w:val="28"/>
              </w:rPr>
            </w:pPr>
            <w:r>
              <w:rPr>
                <w:szCs w:val="28"/>
              </w:rPr>
              <w:t>172</w:t>
            </w:r>
            <w:r w:rsidR="00351E46">
              <w:rPr>
                <w:szCs w:val="28"/>
              </w:rPr>
              <w:t>0</w:t>
            </w:r>
          </w:p>
        </w:tc>
        <w:tc>
          <w:tcPr>
            <w:tcW w:w="3263" w:type="dxa"/>
            <w:shd w:val="clear" w:color="auto" w:fill="FBD4B4"/>
            <w:vAlign w:val="center"/>
          </w:tcPr>
          <w:p w:rsidR="00351E46" w:rsidRPr="00614191" w:rsidRDefault="00351E46" w:rsidP="00A4184C">
            <w:pPr>
              <w:jc w:val="center"/>
              <w:rPr>
                <w:szCs w:val="28"/>
                <w:highlight w:val="yellow"/>
              </w:rPr>
            </w:pPr>
            <w:r w:rsidRPr="00614191">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VIII</w:t>
            </w:r>
          </w:p>
        </w:tc>
        <w:tc>
          <w:tcPr>
            <w:tcW w:w="2458" w:type="dxa"/>
            <w:shd w:val="clear" w:color="auto" w:fill="FBD4B4"/>
            <w:vAlign w:val="center"/>
          </w:tcPr>
          <w:p w:rsidR="00351E46" w:rsidRPr="00614191" w:rsidRDefault="00351E46" w:rsidP="00A4184C">
            <w:pPr>
              <w:jc w:val="center"/>
              <w:rPr>
                <w:szCs w:val="28"/>
                <w:highlight w:val="yellow"/>
              </w:rPr>
            </w:pPr>
            <w:r>
              <w:rPr>
                <w:szCs w:val="28"/>
              </w:rPr>
              <w:t>840</w:t>
            </w:r>
          </w:p>
        </w:tc>
        <w:tc>
          <w:tcPr>
            <w:tcW w:w="2612" w:type="dxa"/>
            <w:shd w:val="clear" w:color="auto" w:fill="FBD4B4"/>
            <w:vAlign w:val="center"/>
          </w:tcPr>
          <w:p w:rsidR="00351E46" w:rsidRPr="00614191" w:rsidRDefault="005A5505" w:rsidP="00A4184C">
            <w:pPr>
              <w:jc w:val="center"/>
              <w:rPr>
                <w:szCs w:val="28"/>
              </w:rPr>
            </w:pPr>
            <w:r>
              <w:rPr>
                <w:szCs w:val="28"/>
              </w:rPr>
              <w:t>256</w:t>
            </w:r>
            <w:r w:rsidR="00351E46">
              <w:rPr>
                <w:szCs w:val="28"/>
              </w:rPr>
              <w:t>0</w:t>
            </w:r>
          </w:p>
        </w:tc>
        <w:tc>
          <w:tcPr>
            <w:tcW w:w="3263" w:type="dxa"/>
            <w:shd w:val="clear" w:color="auto" w:fill="FBD4B4"/>
            <w:vAlign w:val="center"/>
          </w:tcPr>
          <w:p w:rsidR="00351E46" w:rsidRPr="00614191" w:rsidRDefault="0057217B" w:rsidP="00A4184C">
            <w:pPr>
              <w:jc w:val="center"/>
              <w:rPr>
                <w:szCs w:val="28"/>
                <w:highlight w:val="yellow"/>
              </w:rPr>
            </w:pPr>
            <w:r>
              <w:rPr>
                <w:szCs w:val="28"/>
              </w:rPr>
              <w:t>37</w:t>
            </w:r>
            <w:r w:rsidR="00351E46">
              <w:rPr>
                <w:szCs w:val="28"/>
              </w:rPr>
              <w:t>0</w:t>
            </w:r>
          </w:p>
        </w:tc>
      </w:tr>
      <w:tr w:rsidR="00351E46" w:rsidRPr="00614191" w:rsidTr="00A4184C">
        <w:trPr>
          <w:trHeight w:val="288"/>
        </w:trPr>
        <w:tc>
          <w:tcPr>
            <w:tcW w:w="936" w:type="dxa"/>
            <w:shd w:val="clear" w:color="auto" w:fill="4F81BD"/>
            <w:vAlign w:val="center"/>
          </w:tcPr>
          <w:p w:rsidR="00351E46" w:rsidRPr="00605CA0" w:rsidRDefault="00351E46" w:rsidP="00A4184C">
            <w:pPr>
              <w:jc w:val="center"/>
              <w:rPr>
                <w:szCs w:val="28"/>
              </w:rPr>
            </w:pPr>
            <w:r w:rsidRPr="00605CA0">
              <w:rPr>
                <w:szCs w:val="28"/>
              </w:rPr>
              <w:t>IX</w:t>
            </w:r>
          </w:p>
        </w:tc>
        <w:tc>
          <w:tcPr>
            <w:tcW w:w="2458" w:type="dxa"/>
            <w:shd w:val="clear" w:color="auto" w:fill="4F81BD"/>
            <w:vAlign w:val="center"/>
          </w:tcPr>
          <w:p w:rsidR="00351E46" w:rsidRPr="00605CA0" w:rsidRDefault="005A5505" w:rsidP="00351E46">
            <w:pPr>
              <w:jc w:val="center"/>
              <w:rPr>
                <w:szCs w:val="28"/>
              </w:rPr>
            </w:pPr>
            <w:r>
              <w:rPr>
                <w:szCs w:val="28"/>
              </w:rPr>
              <w:t>1890</w:t>
            </w:r>
          </w:p>
        </w:tc>
        <w:tc>
          <w:tcPr>
            <w:tcW w:w="2612" w:type="dxa"/>
            <w:shd w:val="clear" w:color="auto" w:fill="4F81BD"/>
            <w:vAlign w:val="center"/>
          </w:tcPr>
          <w:p w:rsidR="00351E46" w:rsidRPr="00605CA0" w:rsidRDefault="005A5505" w:rsidP="005A5505">
            <w:pPr>
              <w:jc w:val="center"/>
              <w:rPr>
                <w:szCs w:val="28"/>
              </w:rPr>
            </w:pPr>
            <w:r>
              <w:rPr>
                <w:szCs w:val="28"/>
              </w:rPr>
              <w:t>4450</w:t>
            </w:r>
          </w:p>
        </w:tc>
        <w:tc>
          <w:tcPr>
            <w:tcW w:w="3263" w:type="dxa"/>
            <w:shd w:val="clear" w:color="auto" w:fill="4F81BD"/>
            <w:vAlign w:val="center"/>
          </w:tcPr>
          <w:p w:rsidR="00351E46" w:rsidRPr="00605CA0" w:rsidRDefault="0057217B" w:rsidP="00A4184C">
            <w:pPr>
              <w:jc w:val="center"/>
              <w:rPr>
                <w:szCs w:val="28"/>
              </w:rPr>
            </w:pPr>
            <w:r>
              <w:rPr>
                <w:szCs w:val="28"/>
              </w:rPr>
              <w:t>37</w:t>
            </w:r>
            <w:r w:rsidR="00351E46" w:rsidRPr="00605CA0">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X</w:t>
            </w:r>
          </w:p>
        </w:tc>
        <w:tc>
          <w:tcPr>
            <w:tcW w:w="2458" w:type="dxa"/>
            <w:shd w:val="clear" w:color="auto" w:fill="FBD4B4"/>
            <w:vAlign w:val="center"/>
          </w:tcPr>
          <w:p w:rsidR="00351E46" w:rsidRPr="00614191" w:rsidRDefault="00351E46" w:rsidP="00A4184C">
            <w:pPr>
              <w:jc w:val="center"/>
              <w:rPr>
                <w:szCs w:val="28"/>
                <w:highlight w:val="yellow"/>
              </w:rPr>
            </w:pPr>
            <w:r w:rsidRPr="00614191">
              <w:rPr>
                <w:szCs w:val="28"/>
              </w:rPr>
              <w:t>-100</w:t>
            </w:r>
          </w:p>
        </w:tc>
        <w:tc>
          <w:tcPr>
            <w:tcW w:w="2612" w:type="dxa"/>
            <w:shd w:val="clear" w:color="auto" w:fill="FBD4B4"/>
            <w:vAlign w:val="center"/>
          </w:tcPr>
          <w:p w:rsidR="00351E46" w:rsidRPr="00614191" w:rsidRDefault="005A5505" w:rsidP="00A4184C">
            <w:pPr>
              <w:jc w:val="center"/>
              <w:rPr>
                <w:szCs w:val="28"/>
                <w:highlight w:val="yellow"/>
              </w:rPr>
            </w:pPr>
            <w:r>
              <w:rPr>
                <w:szCs w:val="28"/>
              </w:rPr>
              <w:t>435</w:t>
            </w:r>
            <w:r w:rsidR="00351E46">
              <w:rPr>
                <w:szCs w:val="28"/>
              </w:rPr>
              <w:t>0</w:t>
            </w:r>
          </w:p>
        </w:tc>
        <w:tc>
          <w:tcPr>
            <w:tcW w:w="3263" w:type="dxa"/>
            <w:shd w:val="clear" w:color="auto" w:fill="FBD4B4"/>
            <w:vAlign w:val="center"/>
          </w:tcPr>
          <w:p w:rsidR="00351E46" w:rsidRPr="00614191" w:rsidRDefault="0057217B" w:rsidP="00A4184C">
            <w:pPr>
              <w:jc w:val="center"/>
              <w:rPr>
                <w:szCs w:val="28"/>
              </w:rPr>
            </w:pPr>
            <w:r>
              <w:rPr>
                <w:szCs w:val="28"/>
              </w:rPr>
              <w:t>37</w:t>
            </w:r>
            <w:r w:rsidR="00351E46">
              <w:rPr>
                <w:szCs w:val="28"/>
              </w:rPr>
              <w:t>0</w:t>
            </w:r>
          </w:p>
        </w:tc>
      </w:tr>
      <w:tr w:rsidR="00351E46" w:rsidRPr="00614191" w:rsidTr="00A4184C">
        <w:trPr>
          <w:trHeight w:val="288"/>
        </w:trPr>
        <w:tc>
          <w:tcPr>
            <w:tcW w:w="936" w:type="dxa"/>
            <w:shd w:val="clear" w:color="auto" w:fill="FBD4B4"/>
            <w:vAlign w:val="center"/>
          </w:tcPr>
          <w:p w:rsidR="00351E46" w:rsidRPr="00614191" w:rsidRDefault="00351E46" w:rsidP="00A4184C">
            <w:pPr>
              <w:jc w:val="center"/>
              <w:rPr>
                <w:szCs w:val="28"/>
              </w:rPr>
            </w:pPr>
            <w:r w:rsidRPr="00614191">
              <w:rPr>
                <w:szCs w:val="28"/>
              </w:rPr>
              <w:t>XI</w:t>
            </w:r>
          </w:p>
        </w:tc>
        <w:tc>
          <w:tcPr>
            <w:tcW w:w="2458" w:type="dxa"/>
            <w:shd w:val="clear" w:color="auto" w:fill="FBD4B4"/>
            <w:vAlign w:val="center"/>
          </w:tcPr>
          <w:p w:rsidR="00351E46" w:rsidRPr="00614191" w:rsidRDefault="00351E46" w:rsidP="00A4184C">
            <w:pPr>
              <w:jc w:val="center"/>
              <w:rPr>
                <w:szCs w:val="28"/>
              </w:rPr>
            </w:pPr>
            <w:r w:rsidRPr="00614191">
              <w:rPr>
                <w:szCs w:val="28"/>
              </w:rPr>
              <w:t>0</w:t>
            </w:r>
          </w:p>
        </w:tc>
        <w:tc>
          <w:tcPr>
            <w:tcW w:w="2612" w:type="dxa"/>
            <w:shd w:val="clear" w:color="auto" w:fill="FBD4B4"/>
            <w:vAlign w:val="center"/>
          </w:tcPr>
          <w:p w:rsidR="00351E46" w:rsidRPr="00614191" w:rsidRDefault="005A5505" w:rsidP="00A4184C">
            <w:pPr>
              <w:jc w:val="center"/>
              <w:rPr>
                <w:szCs w:val="28"/>
              </w:rPr>
            </w:pPr>
            <w:r>
              <w:rPr>
                <w:szCs w:val="28"/>
              </w:rPr>
              <w:t>4350</w:t>
            </w:r>
          </w:p>
        </w:tc>
        <w:tc>
          <w:tcPr>
            <w:tcW w:w="3263" w:type="dxa"/>
            <w:shd w:val="clear" w:color="auto" w:fill="FBD4B4"/>
            <w:vAlign w:val="center"/>
          </w:tcPr>
          <w:p w:rsidR="00351E46" w:rsidRPr="00614191" w:rsidRDefault="0057217B" w:rsidP="00A4184C">
            <w:pPr>
              <w:jc w:val="center"/>
              <w:rPr>
                <w:szCs w:val="28"/>
              </w:rPr>
            </w:pPr>
            <w:r>
              <w:rPr>
                <w:szCs w:val="28"/>
              </w:rPr>
              <w:t>37</w:t>
            </w:r>
            <w:r w:rsidR="00351E46">
              <w:rPr>
                <w:szCs w:val="28"/>
              </w:rPr>
              <w:t>0</w:t>
            </w:r>
          </w:p>
        </w:tc>
      </w:tr>
      <w:tr w:rsidR="00351E46" w:rsidRPr="00614191" w:rsidTr="00A4184C">
        <w:trPr>
          <w:trHeight w:val="298"/>
        </w:trPr>
        <w:tc>
          <w:tcPr>
            <w:tcW w:w="936" w:type="dxa"/>
            <w:shd w:val="clear" w:color="auto" w:fill="FBD4B4"/>
            <w:vAlign w:val="center"/>
          </w:tcPr>
          <w:p w:rsidR="00351E46" w:rsidRPr="00614191" w:rsidRDefault="00351E46" w:rsidP="00A4184C">
            <w:pPr>
              <w:jc w:val="center"/>
              <w:rPr>
                <w:szCs w:val="28"/>
              </w:rPr>
            </w:pPr>
            <w:r w:rsidRPr="00614191">
              <w:rPr>
                <w:szCs w:val="28"/>
              </w:rPr>
              <w:t>XII</w:t>
            </w:r>
          </w:p>
        </w:tc>
        <w:tc>
          <w:tcPr>
            <w:tcW w:w="2458" w:type="dxa"/>
            <w:shd w:val="clear" w:color="auto" w:fill="FBD4B4"/>
            <w:vAlign w:val="center"/>
          </w:tcPr>
          <w:p w:rsidR="00351E46" w:rsidRPr="00614191" w:rsidRDefault="00351E46" w:rsidP="00A4184C">
            <w:pPr>
              <w:jc w:val="center"/>
              <w:rPr>
                <w:szCs w:val="28"/>
              </w:rPr>
            </w:pPr>
            <w:r>
              <w:rPr>
                <w:szCs w:val="28"/>
              </w:rPr>
              <w:t>80</w:t>
            </w:r>
          </w:p>
        </w:tc>
        <w:tc>
          <w:tcPr>
            <w:tcW w:w="2612" w:type="dxa"/>
            <w:shd w:val="clear" w:color="auto" w:fill="FBD4B4"/>
            <w:vAlign w:val="center"/>
          </w:tcPr>
          <w:p w:rsidR="00351E46" w:rsidRPr="00614191" w:rsidRDefault="005A5505" w:rsidP="00A4184C">
            <w:pPr>
              <w:jc w:val="center"/>
              <w:rPr>
                <w:szCs w:val="28"/>
              </w:rPr>
            </w:pPr>
            <w:r>
              <w:rPr>
                <w:szCs w:val="28"/>
              </w:rPr>
              <w:t>4430</w:t>
            </w:r>
          </w:p>
        </w:tc>
        <w:tc>
          <w:tcPr>
            <w:tcW w:w="3263" w:type="dxa"/>
            <w:shd w:val="clear" w:color="auto" w:fill="FBD4B4"/>
            <w:vAlign w:val="center"/>
          </w:tcPr>
          <w:p w:rsidR="00351E46" w:rsidRPr="00614191" w:rsidRDefault="0057217B" w:rsidP="00A4184C">
            <w:pPr>
              <w:jc w:val="center"/>
              <w:rPr>
                <w:szCs w:val="28"/>
              </w:rPr>
            </w:pPr>
            <w:r>
              <w:rPr>
                <w:szCs w:val="28"/>
              </w:rPr>
              <w:t>37</w:t>
            </w:r>
            <w:r w:rsidR="00351E46">
              <w:rPr>
                <w:szCs w:val="28"/>
              </w:rPr>
              <w:t>0</w:t>
            </w:r>
          </w:p>
        </w:tc>
      </w:tr>
    </w:tbl>
    <w:p w:rsidR="00815AEA" w:rsidRDefault="00815AEA" w:rsidP="00351E46">
      <w:pPr>
        <w:ind w:firstLine="720"/>
        <w:jc w:val="both"/>
        <w:rPr>
          <w:sz w:val="24"/>
          <w:szCs w:val="24"/>
        </w:rPr>
      </w:pPr>
    </w:p>
    <w:p w:rsidR="00815AEA" w:rsidRPr="00815AEA" w:rsidRDefault="00351E46" w:rsidP="00815AEA">
      <w:pPr>
        <w:ind w:firstLine="720"/>
        <w:jc w:val="both"/>
        <w:rPr>
          <w:i/>
          <w:sz w:val="24"/>
          <w:szCs w:val="24"/>
        </w:rPr>
      </w:pPr>
      <w:r w:rsidRPr="00815AEA">
        <w:rPr>
          <w:i/>
          <w:sz w:val="24"/>
          <w:szCs w:val="24"/>
        </w:rPr>
        <w:t>Tā kā septembrī pašnodarbinātā saimnieciskās darbības ienākumi, skaitot no gada sākuma, ir pārsnieguši obligāto iemaksu objekta gada minimālo apmēru, t.i., 4440 euro, obligātās iemaksas, vismaz no 370 euro, veic arī par oktobri, novembri un decembri, lai gan nevienā no šiem mēnešiem ienākumi nav sasnieguši obligāto iemaksu objektu – 370 euro.</w:t>
      </w:r>
    </w:p>
    <w:p w:rsidR="00815AEA" w:rsidRPr="00815AEA" w:rsidRDefault="00815AEA" w:rsidP="00815AEA">
      <w:pPr>
        <w:jc w:val="both"/>
        <w:rPr>
          <w:rFonts w:ascii="Times New Roman" w:hAnsi="Times New Roman" w:cs="Times New Roman"/>
          <w:i/>
          <w:sz w:val="24"/>
          <w:szCs w:val="24"/>
        </w:rPr>
      </w:pPr>
      <w:r w:rsidRPr="00815AEA">
        <w:rPr>
          <w:rFonts w:ascii="Times New Roman" w:hAnsi="Times New Roman" w:cs="Times New Roman"/>
          <w:b/>
          <w:i/>
          <w:sz w:val="24"/>
          <w:szCs w:val="24"/>
        </w:rPr>
        <w:t>Piemērs:</w:t>
      </w:r>
      <w:r w:rsidRPr="00815AEA">
        <w:rPr>
          <w:rFonts w:ascii="Times New Roman" w:hAnsi="Times New Roman" w:cs="Times New Roman"/>
          <w:i/>
          <w:sz w:val="24"/>
          <w:szCs w:val="24"/>
        </w:rPr>
        <w:t xml:space="preserve"> Persona ir reģistrējusies VID kā saimnieciskās darbības veicēja 201</w:t>
      </w:r>
      <w:r>
        <w:rPr>
          <w:rFonts w:ascii="Times New Roman" w:hAnsi="Times New Roman" w:cs="Times New Roman"/>
          <w:i/>
          <w:sz w:val="24"/>
          <w:szCs w:val="24"/>
        </w:rPr>
        <w:t>6</w:t>
      </w:r>
      <w:r w:rsidRPr="00815AEA">
        <w:rPr>
          <w:rFonts w:ascii="Times New Roman" w:hAnsi="Times New Roman" w:cs="Times New Roman"/>
          <w:i/>
          <w:sz w:val="24"/>
          <w:szCs w:val="24"/>
        </w:rPr>
        <w:t xml:space="preserve">.gada 1.jūnijā. </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439"/>
        <w:gridCol w:w="2439"/>
        <w:gridCol w:w="2439"/>
        <w:gridCol w:w="2439"/>
      </w:tblGrid>
      <w:tr w:rsidR="00815AEA" w:rsidTr="00A4184C">
        <w:tc>
          <w:tcPr>
            <w:tcW w:w="2439" w:type="dxa"/>
            <w:tcBorders>
              <w:top w:val="single" w:sz="8" w:space="0" w:color="4BACC6"/>
              <w:left w:val="single" w:sz="8" w:space="0" w:color="4BACC6"/>
              <w:bottom w:val="single" w:sz="8" w:space="0" w:color="4BACC6"/>
              <w:right w:val="single" w:sz="8" w:space="0" w:color="EEECE1"/>
            </w:tcBorders>
            <w:shd w:val="clear" w:color="auto" w:fill="4BACC6"/>
          </w:tcPr>
          <w:p w:rsidR="00815AEA" w:rsidRPr="002C7C88" w:rsidRDefault="00815AEA" w:rsidP="00A4184C">
            <w:pPr>
              <w:jc w:val="center"/>
              <w:rPr>
                <w:b/>
                <w:bCs/>
                <w:i/>
                <w:szCs w:val="28"/>
              </w:rPr>
            </w:pPr>
            <w:r w:rsidRPr="002C7C88">
              <w:rPr>
                <w:b/>
                <w:bCs/>
                <w:i/>
                <w:szCs w:val="28"/>
              </w:rPr>
              <w:t>Mēnesis</w:t>
            </w:r>
          </w:p>
        </w:tc>
        <w:tc>
          <w:tcPr>
            <w:tcW w:w="2439" w:type="dxa"/>
            <w:tcBorders>
              <w:top w:val="single" w:sz="8" w:space="0" w:color="4BACC6"/>
              <w:left w:val="single" w:sz="8" w:space="0" w:color="EEECE1"/>
              <w:bottom w:val="single" w:sz="8" w:space="0" w:color="4BACC6"/>
              <w:right w:val="single" w:sz="8" w:space="0" w:color="EEECE1"/>
            </w:tcBorders>
            <w:shd w:val="clear" w:color="auto" w:fill="4BACC6"/>
          </w:tcPr>
          <w:p w:rsidR="00815AEA" w:rsidRPr="002C7C88" w:rsidRDefault="00815AEA" w:rsidP="00A4184C">
            <w:pPr>
              <w:jc w:val="center"/>
              <w:rPr>
                <w:b/>
                <w:bCs/>
                <w:i/>
                <w:szCs w:val="28"/>
              </w:rPr>
            </w:pPr>
            <w:r w:rsidRPr="002C7C88">
              <w:rPr>
                <w:b/>
                <w:bCs/>
                <w:i/>
                <w:szCs w:val="28"/>
              </w:rPr>
              <w:t>Ienākumi mēnesī (euro) pēc saimnieciskās darbības ieņēmumu un izdevumu uzskaites žurnāla datiem</w:t>
            </w:r>
          </w:p>
        </w:tc>
        <w:tc>
          <w:tcPr>
            <w:tcW w:w="2439" w:type="dxa"/>
            <w:tcBorders>
              <w:top w:val="single" w:sz="8" w:space="0" w:color="4BACC6"/>
              <w:left w:val="single" w:sz="8" w:space="0" w:color="EEECE1"/>
              <w:bottom w:val="single" w:sz="8" w:space="0" w:color="4BACC6"/>
              <w:right w:val="single" w:sz="8" w:space="0" w:color="EEECE1"/>
            </w:tcBorders>
            <w:shd w:val="clear" w:color="auto" w:fill="4BACC6"/>
          </w:tcPr>
          <w:p w:rsidR="00815AEA" w:rsidRPr="002C7C88" w:rsidRDefault="00815AEA" w:rsidP="00A4184C">
            <w:pPr>
              <w:jc w:val="center"/>
              <w:rPr>
                <w:b/>
                <w:bCs/>
                <w:i/>
                <w:szCs w:val="28"/>
              </w:rPr>
            </w:pPr>
            <w:r w:rsidRPr="002C7C88">
              <w:rPr>
                <w:b/>
                <w:bCs/>
                <w:i/>
                <w:szCs w:val="28"/>
              </w:rPr>
              <w:t>Saimnieciskās darbības ienākumi (euro), skaitot no gada sākuma</w:t>
            </w:r>
          </w:p>
        </w:tc>
        <w:tc>
          <w:tcPr>
            <w:tcW w:w="2439" w:type="dxa"/>
            <w:tcBorders>
              <w:top w:val="single" w:sz="8" w:space="0" w:color="4BACC6"/>
              <w:left w:val="single" w:sz="8" w:space="0" w:color="EEECE1"/>
              <w:bottom w:val="single" w:sz="8" w:space="0" w:color="4BACC6"/>
              <w:right w:val="single" w:sz="8" w:space="0" w:color="4BACC6"/>
            </w:tcBorders>
            <w:shd w:val="clear" w:color="auto" w:fill="4BACC6"/>
          </w:tcPr>
          <w:p w:rsidR="00815AEA" w:rsidRPr="002C7C88" w:rsidRDefault="00815AEA" w:rsidP="00A4184C">
            <w:pPr>
              <w:jc w:val="center"/>
              <w:rPr>
                <w:b/>
                <w:bCs/>
                <w:i/>
                <w:szCs w:val="28"/>
              </w:rPr>
            </w:pPr>
            <w:r w:rsidRPr="002C7C88">
              <w:rPr>
                <w:b/>
                <w:bCs/>
                <w:i/>
                <w:szCs w:val="28"/>
              </w:rPr>
              <w:t>Obligāto iemaksu objekta minimālais apmērs (euro), no kura jāveic iemaksas</w:t>
            </w:r>
          </w:p>
        </w:tc>
      </w:tr>
      <w:tr w:rsidR="00815AEA" w:rsidTr="00A4184C">
        <w:tc>
          <w:tcPr>
            <w:tcW w:w="2439" w:type="dxa"/>
            <w:tcBorders>
              <w:top w:val="single" w:sz="8" w:space="0" w:color="4BACC6"/>
            </w:tcBorders>
            <w:shd w:val="clear" w:color="auto" w:fill="auto"/>
          </w:tcPr>
          <w:p w:rsidR="00815AEA" w:rsidRPr="002C7C88" w:rsidRDefault="00815AEA" w:rsidP="00A4184C">
            <w:pPr>
              <w:jc w:val="both"/>
              <w:rPr>
                <w:b/>
                <w:bCs/>
                <w:szCs w:val="28"/>
              </w:rPr>
            </w:pPr>
            <w:r w:rsidRPr="002C7C88">
              <w:rPr>
                <w:b/>
                <w:bCs/>
                <w:szCs w:val="28"/>
              </w:rPr>
              <w:t>VI</w:t>
            </w:r>
          </w:p>
        </w:tc>
        <w:tc>
          <w:tcPr>
            <w:tcW w:w="2439" w:type="dxa"/>
            <w:tcBorders>
              <w:top w:val="single" w:sz="8" w:space="0" w:color="4BACC6"/>
            </w:tcBorders>
            <w:shd w:val="clear" w:color="auto" w:fill="auto"/>
          </w:tcPr>
          <w:p w:rsidR="00815AEA" w:rsidRPr="002C7C88" w:rsidRDefault="00815AEA" w:rsidP="00A4184C">
            <w:pPr>
              <w:jc w:val="both"/>
              <w:rPr>
                <w:szCs w:val="28"/>
              </w:rPr>
            </w:pPr>
            <w:r w:rsidRPr="002C7C88">
              <w:rPr>
                <w:szCs w:val="28"/>
              </w:rPr>
              <w:t>600</w:t>
            </w:r>
          </w:p>
        </w:tc>
        <w:tc>
          <w:tcPr>
            <w:tcW w:w="2439" w:type="dxa"/>
            <w:tcBorders>
              <w:top w:val="single" w:sz="8" w:space="0" w:color="4BACC6"/>
            </w:tcBorders>
            <w:shd w:val="clear" w:color="auto" w:fill="auto"/>
          </w:tcPr>
          <w:p w:rsidR="00815AEA" w:rsidRPr="002C7C88" w:rsidRDefault="00815AEA" w:rsidP="00A4184C">
            <w:pPr>
              <w:jc w:val="both"/>
              <w:rPr>
                <w:szCs w:val="28"/>
              </w:rPr>
            </w:pPr>
            <w:r w:rsidRPr="002C7C88">
              <w:rPr>
                <w:szCs w:val="28"/>
              </w:rPr>
              <w:t>600</w:t>
            </w:r>
          </w:p>
        </w:tc>
        <w:tc>
          <w:tcPr>
            <w:tcW w:w="2439" w:type="dxa"/>
            <w:tcBorders>
              <w:top w:val="single" w:sz="8" w:space="0" w:color="4BACC6"/>
            </w:tcBorders>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VII</w:t>
            </w:r>
          </w:p>
        </w:tc>
        <w:tc>
          <w:tcPr>
            <w:tcW w:w="2439" w:type="dxa"/>
            <w:shd w:val="clear" w:color="auto" w:fill="auto"/>
          </w:tcPr>
          <w:p w:rsidR="00815AEA" w:rsidRPr="002C7C88" w:rsidRDefault="00815AEA" w:rsidP="00A4184C">
            <w:pPr>
              <w:jc w:val="both"/>
              <w:rPr>
                <w:szCs w:val="28"/>
              </w:rPr>
            </w:pPr>
            <w:r w:rsidRPr="002C7C88">
              <w:rPr>
                <w:szCs w:val="28"/>
              </w:rPr>
              <w:t>600</w:t>
            </w:r>
          </w:p>
        </w:tc>
        <w:tc>
          <w:tcPr>
            <w:tcW w:w="2439" w:type="dxa"/>
            <w:shd w:val="clear" w:color="auto" w:fill="auto"/>
          </w:tcPr>
          <w:p w:rsidR="00815AEA" w:rsidRPr="002C7C88" w:rsidRDefault="00815AEA" w:rsidP="00A4184C">
            <w:pPr>
              <w:jc w:val="both"/>
              <w:rPr>
                <w:szCs w:val="28"/>
              </w:rPr>
            </w:pPr>
            <w:r w:rsidRPr="002C7C88">
              <w:rPr>
                <w:szCs w:val="28"/>
              </w:rPr>
              <w:t>1200</w:t>
            </w:r>
          </w:p>
        </w:tc>
        <w:tc>
          <w:tcPr>
            <w:tcW w:w="2439" w:type="dxa"/>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VIII</w:t>
            </w:r>
          </w:p>
        </w:tc>
        <w:tc>
          <w:tcPr>
            <w:tcW w:w="2439" w:type="dxa"/>
            <w:shd w:val="clear" w:color="auto" w:fill="auto"/>
          </w:tcPr>
          <w:p w:rsidR="00815AEA" w:rsidRPr="002C7C88" w:rsidRDefault="005A5505" w:rsidP="00A4184C">
            <w:pPr>
              <w:jc w:val="both"/>
              <w:rPr>
                <w:szCs w:val="28"/>
              </w:rPr>
            </w:pPr>
            <w:r>
              <w:rPr>
                <w:szCs w:val="28"/>
              </w:rPr>
              <w:t>430</w:t>
            </w:r>
          </w:p>
        </w:tc>
        <w:tc>
          <w:tcPr>
            <w:tcW w:w="2439" w:type="dxa"/>
            <w:shd w:val="clear" w:color="auto" w:fill="auto"/>
          </w:tcPr>
          <w:p w:rsidR="00815AEA" w:rsidRPr="002C7C88" w:rsidRDefault="005A5505" w:rsidP="00A4184C">
            <w:pPr>
              <w:jc w:val="both"/>
              <w:rPr>
                <w:szCs w:val="28"/>
              </w:rPr>
            </w:pPr>
            <w:r>
              <w:rPr>
                <w:szCs w:val="28"/>
              </w:rPr>
              <w:t>1630</w:t>
            </w:r>
          </w:p>
        </w:tc>
        <w:tc>
          <w:tcPr>
            <w:tcW w:w="2439" w:type="dxa"/>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IX</w:t>
            </w:r>
          </w:p>
        </w:tc>
        <w:tc>
          <w:tcPr>
            <w:tcW w:w="2439" w:type="dxa"/>
            <w:shd w:val="clear" w:color="auto" w:fill="auto"/>
          </w:tcPr>
          <w:p w:rsidR="00815AEA" w:rsidRPr="002C7C88" w:rsidRDefault="005A5505" w:rsidP="00A4184C">
            <w:pPr>
              <w:jc w:val="both"/>
              <w:rPr>
                <w:szCs w:val="28"/>
              </w:rPr>
            </w:pPr>
            <w:r>
              <w:rPr>
                <w:szCs w:val="28"/>
              </w:rPr>
              <w:t>0</w:t>
            </w:r>
          </w:p>
        </w:tc>
        <w:tc>
          <w:tcPr>
            <w:tcW w:w="2439" w:type="dxa"/>
            <w:shd w:val="clear" w:color="auto" w:fill="auto"/>
          </w:tcPr>
          <w:p w:rsidR="00815AEA" w:rsidRPr="002C7C88" w:rsidRDefault="005A5505" w:rsidP="00A4184C">
            <w:pPr>
              <w:jc w:val="both"/>
              <w:rPr>
                <w:szCs w:val="28"/>
              </w:rPr>
            </w:pPr>
            <w:r>
              <w:rPr>
                <w:szCs w:val="28"/>
              </w:rPr>
              <w:t>1630</w:t>
            </w:r>
          </w:p>
        </w:tc>
        <w:tc>
          <w:tcPr>
            <w:tcW w:w="2439" w:type="dxa"/>
            <w:shd w:val="clear" w:color="auto" w:fill="auto"/>
          </w:tcPr>
          <w:p w:rsidR="00815AEA" w:rsidRPr="002C7C88" w:rsidRDefault="00815AEA" w:rsidP="00A4184C">
            <w:pPr>
              <w:jc w:val="both"/>
              <w:rPr>
                <w:szCs w:val="28"/>
              </w:rPr>
            </w:pPr>
            <w:r w:rsidRPr="002C7C88">
              <w:rPr>
                <w:szCs w:val="28"/>
              </w:rPr>
              <w:t>0</w:t>
            </w:r>
          </w:p>
        </w:tc>
      </w:tr>
      <w:tr w:rsidR="00815AEA" w:rsidTr="00A4184C">
        <w:tc>
          <w:tcPr>
            <w:tcW w:w="2439" w:type="dxa"/>
            <w:shd w:val="clear" w:color="auto" w:fill="FABF8F"/>
          </w:tcPr>
          <w:p w:rsidR="00815AEA" w:rsidRPr="002C7C88" w:rsidRDefault="00815AEA" w:rsidP="00A4184C">
            <w:pPr>
              <w:jc w:val="both"/>
              <w:rPr>
                <w:b/>
                <w:bCs/>
                <w:szCs w:val="28"/>
              </w:rPr>
            </w:pPr>
            <w:r w:rsidRPr="002C7C88">
              <w:rPr>
                <w:b/>
                <w:bCs/>
                <w:szCs w:val="28"/>
              </w:rPr>
              <w:t>X</w:t>
            </w:r>
          </w:p>
        </w:tc>
        <w:tc>
          <w:tcPr>
            <w:tcW w:w="2439" w:type="dxa"/>
            <w:shd w:val="clear" w:color="auto" w:fill="FABF8F"/>
          </w:tcPr>
          <w:p w:rsidR="00815AEA" w:rsidRPr="002C7C88" w:rsidRDefault="00815AEA" w:rsidP="00A4184C">
            <w:pPr>
              <w:jc w:val="both"/>
              <w:rPr>
                <w:szCs w:val="28"/>
              </w:rPr>
            </w:pPr>
            <w:r>
              <w:rPr>
                <w:szCs w:val="28"/>
              </w:rPr>
              <w:t>960</w:t>
            </w:r>
          </w:p>
        </w:tc>
        <w:tc>
          <w:tcPr>
            <w:tcW w:w="2439" w:type="dxa"/>
            <w:shd w:val="clear" w:color="auto" w:fill="FABF8F"/>
          </w:tcPr>
          <w:p w:rsidR="00815AEA" w:rsidRPr="002C7C88" w:rsidRDefault="00815AEA" w:rsidP="00A4184C">
            <w:pPr>
              <w:jc w:val="both"/>
              <w:rPr>
                <w:b/>
                <w:szCs w:val="28"/>
              </w:rPr>
            </w:pPr>
            <w:r w:rsidRPr="002C7C88">
              <w:rPr>
                <w:b/>
                <w:szCs w:val="28"/>
              </w:rPr>
              <w:t>2</w:t>
            </w:r>
            <w:r>
              <w:rPr>
                <w:b/>
                <w:szCs w:val="28"/>
              </w:rPr>
              <w:t>590</w:t>
            </w:r>
          </w:p>
        </w:tc>
        <w:tc>
          <w:tcPr>
            <w:tcW w:w="2439" w:type="dxa"/>
            <w:shd w:val="clear" w:color="auto" w:fill="FABF8F"/>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XI</w:t>
            </w:r>
          </w:p>
        </w:tc>
        <w:tc>
          <w:tcPr>
            <w:tcW w:w="2439" w:type="dxa"/>
            <w:shd w:val="clear" w:color="auto" w:fill="auto"/>
          </w:tcPr>
          <w:p w:rsidR="00815AEA" w:rsidRPr="002C7C88" w:rsidRDefault="00815AEA" w:rsidP="00A4184C">
            <w:pPr>
              <w:jc w:val="both"/>
              <w:rPr>
                <w:szCs w:val="28"/>
              </w:rPr>
            </w:pPr>
            <w:r w:rsidRPr="002C7C88">
              <w:rPr>
                <w:szCs w:val="28"/>
              </w:rPr>
              <w:t>0</w:t>
            </w:r>
          </w:p>
        </w:tc>
        <w:tc>
          <w:tcPr>
            <w:tcW w:w="2439" w:type="dxa"/>
            <w:shd w:val="clear" w:color="auto" w:fill="auto"/>
          </w:tcPr>
          <w:p w:rsidR="00815AEA" w:rsidRPr="002C7C88" w:rsidRDefault="00815AEA" w:rsidP="00A4184C">
            <w:pPr>
              <w:jc w:val="both"/>
              <w:rPr>
                <w:szCs w:val="28"/>
              </w:rPr>
            </w:pPr>
            <w:r w:rsidRPr="002C7C88">
              <w:rPr>
                <w:szCs w:val="28"/>
              </w:rPr>
              <w:t>2</w:t>
            </w:r>
            <w:r>
              <w:rPr>
                <w:szCs w:val="28"/>
              </w:rPr>
              <w:t>590</w:t>
            </w:r>
          </w:p>
        </w:tc>
        <w:tc>
          <w:tcPr>
            <w:tcW w:w="2439" w:type="dxa"/>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r w:rsidR="00815AEA" w:rsidTr="00A4184C">
        <w:tc>
          <w:tcPr>
            <w:tcW w:w="2439" w:type="dxa"/>
            <w:shd w:val="clear" w:color="auto" w:fill="auto"/>
          </w:tcPr>
          <w:p w:rsidR="00815AEA" w:rsidRPr="002C7C88" w:rsidRDefault="00815AEA" w:rsidP="00A4184C">
            <w:pPr>
              <w:jc w:val="both"/>
              <w:rPr>
                <w:b/>
                <w:bCs/>
                <w:szCs w:val="28"/>
              </w:rPr>
            </w:pPr>
            <w:r w:rsidRPr="002C7C88">
              <w:rPr>
                <w:b/>
                <w:bCs/>
                <w:szCs w:val="28"/>
              </w:rPr>
              <w:t>XII</w:t>
            </w:r>
          </w:p>
        </w:tc>
        <w:tc>
          <w:tcPr>
            <w:tcW w:w="2439" w:type="dxa"/>
            <w:shd w:val="clear" w:color="auto" w:fill="auto"/>
          </w:tcPr>
          <w:p w:rsidR="00815AEA" w:rsidRPr="002C7C88" w:rsidRDefault="00815AEA" w:rsidP="00A4184C">
            <w:pPr>
              <w:jc w:val="both"/>
              <w:rPr>
                <w:szCs w:val="28"/>
              </w:rPr>
            </w:pPr>
            <w:r w:rsidRPr="002C7C88">
              <w:rPr>
                <w:szCs w:val="28"/>
              </w:rPr>
              <w:t>0</w:t>
            </w:r>
          </w:p>
        </w:tc>
        <w:tc>
          <w:tcPr>
            <w:tcW w:w="2439" w:type="dxa"/>
            <w:shd w:val="clear" w:color="auto" w:fill="auto"/>
          </w:tcPr>
          <w:p w:rsidR="00815AEA" w:rsidRPr="002C7C88" w:rsidRDefault="00815AEA" w:rsidP="00A4184C">
            <w:pPr>
              <w:jc w:val="both"/>
              <w:rPr>
                <w:szCs w:val="28"/>
              </w:rPr>
            </w:pPr>
            <w:r w:rsidRPr="002C7C88">
              <w:rPr>
                <w:szCs w:val="28"/>
              </w:rPr>
              <w:t>2</w:t>
            </w:r>
            <w:r>
              <w:rPr>
                <w:szCs w:val="28"/>
              </w:rPr>
              <w:t>590</w:t>
            </w:r>
          </w:p>
        </w:tc>
        <w:tc>
          <w:tcPr>
            <w:tcW w:w="2439" w:type="dxa"/>
            <w:shd w:val="clear" w:color="auto" w:fill="auto"/>
          </w:tcPr>
          <w:p w:rsidR="00815AEA" w:rsidRPr="002C7C88" w:rsidRDefault="00815AEA" w:rsidP="00A4184C">
            <w:pPr>
              <w:jc w:val="both"/>
              <w:rPr>
                <w:szCs w:val="28"/>
              </w:rPr>
            </w:pPr>
            <w:r w:rsidRPr="002C7C88">
              <w:rPr>
                <w:szCs w:val="28"/>
              </w:rPr>
              <w:t>3</w:t>
            </w:r>
            <w:r>
              <w:rPr>
                <w:szCs w:val="28"/>
              </w:rPr>
              <w:t>7</w:t>
            </w:r>
            <w:r w:rsidRPr="002C7C88">
              <w:rPr>
                <w:szCs w:val="28"/>
              </w:rPr>
              <w:t>0</w:t>
            </w:r>
          </w:p>
        </w:tc>
      </w:tr>
    </w:tbl>
    <w:p w:rsidR="00351E46" w:rsidRPr="00C85AFF" w:rsidRDefault="00351E46" w:rsidP="00351E46">
      <w:pPr>
        <w:jc w:val="both"/>
        <w:rPr>
          <w:i/>
        </w:rPr>
      </w:pPr>
    </w:p>
    <w:p w:rsidR="00351E46" w:rsidRPr="00614191" w:rsidRDefault="00351E46" w:rsidP="00351E46">
      <w:pPr>
        <w:jc w:val="both"/>
        <w:rPr>
          <w:szCs w:val="28"/>
        </w:rPr>
      </w:pPr>
    </w:p>
    <w:p w:rsidR="00351E46" w:rsidRPr="00351E46" w:rsidRDefault="00351E46" w:rsidP="00351E46">
      <w:pPr>
        <w:pStyle w:val="BodyText"/>
        <w:rPr>
          <w:position w:val="0"/>
          <w:sz w:val="24"/>
          <w:szCs w:val="24"/>
        </w:rPr>
      </w:pPr>
    </w:p>
    <w:p w:rsidR="00351E46" w:rsidRPr="00815AEA" w:rsidRDefault="00815AEA" w:rsidP="001C3B48">
      <w:pPr>
        <w:shd w:val="clear" w:color="auto" w:fill="FFFFFF"/>
        <w:spacing w:line="240" w:lineRule="auto"/>
        <w:jc w:val="both"/>
        <w:rPr>
          <w:rFonts w:ascii="Times New Roman" w:hAnsi="Times New Roman" w:cs="Times New Roman"/>
          <w:i/>
          <w:sz w:val="24"/>
          <w:szCs w:val="24"/>
        </w:rPr>
      </w:pPr>
      <w:r w:rsidRPr="00815AEA">
        <w:rPr>
          <w:rFonts w:ascii="Times New Roman" w:hAnsi="Times New Roman" w:cs="Times New Roman"/>
          <w:i/>
          <w:sz w:val="24"/>
          <w:szCs w:val="24"/>
        </w:rPr>
        <w:t>Tā kā personai pašnodarbinātā statuss nav bijis visu kalendāra gadu, bet septiņus mēnešus, obligāto iemaksu objekta gada minimālais apmērs šajā gadījumā ir 2590 euro (370 euro x 7 mēneši). Tā kā oktobrī pašnodarbinātā saimnieciskās darbības ienākumi, skaitot no darbības sākuma, ir sasnieguši obligāto iemaksu objekta gada minimālo apmēru, obligātās iemaksas, vismaz no 370 euro, veic arī par novembri un decembri, lai gan nevienā no šiem mēnešiem ienākumi nav sasnieguši obligāto iemaksu objektu mēnesim, t.i., 370 euro.</w:t>
      </w:r>
    </w:p>
    <w:p w:rsidR="001C3B48" w:rsidRPr="006B7D53" w:rsidRDefault="00974386" w:rsidP="001C3B48">
      <w:pPr>
        <w:shd w:val="clear" w:color="auto" w:fill="FFFFFF"/>
        <w:spacing w:line="240" w:lineRule="auto"/>
        <w:jc w:val="both"/>
        <w:rPr>
          <w:rFonts w:ascii="Times New Roman" w:hAnsi="Times New Roman" w:cs="Times New Roman"/>
          <w:sz w:val="24"/>
          <w:szCs w:val="24"/>
        </w:rPr>
      </w:pPr>
      <w:r w:rsidRPr="00974386">
        <w:rPr>
          <w:rFonts w:ascii="Times New Roman" w:hAnsi="Times New Roman" w:cs="Times New Roman"/>
          <w:sz w:val="24"/>
          <w:szCs w:val="24"/>
        </w:rPr>
        <w:t xml:space="preserve">Pašnodarbinātais aprēķina obligāto iemaksu, reizinot obligāto iemaksu objektu </w:t>
      </w:r>
      <w:r>
        <w:rPr>
          <w:rFonts w:ascii="Times New Roman" w:hAnsi="Times New Roman" w:cs="Times New Roman"/>
          <w:sz w:val="24"/>
          <w:szCs w:val="24"/>
        </w:rPr>
        <w:t xml:space="preserve">mēnesī </w:t>
      </w:r>
      <w:r w:rsidRPr="00974386">
        <w:rPr>
          <w:rFonts w:ascii="Times New Roman" w:hAnsi="Times New Roman" w:cs="Times New Roman"/>
          <w:sz w:val="24"/>
          <w:szCs w:val="24"/>
        </w:rPr>
        <w:t>ar obligāto iemaksu likmi, kāda noteikta pašnodarbinātajam</w:t>
      </w:r>
      <w:r w:rsidR="00140575">
        <w:rPr>
          <w:rFonts w:ascii="Times New Roman" w:hAnsi="Times New Roman" w:cs="Times New Roman"/>
          <w:sz w:val="24"/>
          <w:szCs w:val="24"/>
        </w:rPr>
        <w:t>. O</w:t>
      </w:r>
      <w:r w:rsidR="00DA46A6" w:rsidRPr="00DA46A6">
        <w:rPr>
          <w:rFonts w:ascii="Times New Roman" w:hAnsi="Times New Roman" w:cs="Times New Roman"/>
          <w:sz w:val="24"/>
          <w:szCs w:val="24"/>
        </w:rPr>
        <w:t xml:space="preserve">bligātās iemaksas </w:t>
      </w:r>
      <w:r w:rsidR="00140575" w:rsidRPr="00DA46A6">
        <w:rPr>
          <w:rFonts w:ascii="Times New Roman" w:hAnsi="Times New Roman" w:cs="Times New Roman"/>
          <w:sz w:val="24"/>
          <w:szCs w:val="24"/>
        </w:rPr>
        <w:t>veic par ceturksni</w:t>
      </w:r>
      <w:r w:rsidR="005A5505">
        <w:rPr>
          <w:rFonts w:ascii="Times New Roman" w:hAnsi="Times New Roman" w:cs="Times New Roman"/>
          <w:sz w:val="24"/>
          <w:szCs w:val="24"/>
        </w:rPr>
        <w:t xml:space="preserve"> līdz</w:t>
      </w:r>
      <w:r w:rsidR="00140575" w:rsidRPr="00DA46A6">
        <w:rPr>
          <w:rFonts w:ascii="Times New Roman" w:hAnsi="Times New Roman" w:cs="Times New Roman"/>
          <w:sz w:val="24"/>
          <w:szCs w:val="24"/>
        </w:rPr>
        <w:t xml:space="preserve"> </w:t>
      </w:r>
      <w:r w:rsidR="005A5505" w:rsidRPr="00DA46A6">
        <w:rPr>
          <w:rFonts w:ascii="Times New Roman" w:hAnsi="Times New Roman" w:cs="Times New Roman"/>
          <w:sz w:val="24"/>
          <w:szCs w:val="24"/>
        </w:rPr>
        <w:t>sekojošā mēneša 15.datumam</w:t>
      </w:r>
      <w:r w:rsidR="005A5505">
        <w:rPr>
          <w:rFonts w:ascii="Times New Roman" w:hAnsi="Times New Roman" w:cs="Times New Roman"/>
          <w:sz w:val="24"/>
          <w:szCs w:val="24"/>
        </w:rPr>
        <w:t>, t.i., līdz 15.aprīlim, 15.jūlijam, 15.oktobrim un nākamā gada 15.janvārim.</w:t>
      </w:r>
    </w:p>
    <w:p w:rsidR="00DA46A6" w:rsidRDefault="001C3B48" w:rsidP="001C3B4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Sīkāka informācija par </w:t>
      </w:r>
      <w:r w:rsidRPr="00744BD5">
        <w:rPr>
          <w:rFonts w:ascii="Times New Roman" w:hAnsi="Times New Roman" w:cs="Times New Roman"/>
          <w:sz w:val="24"/>
          <w:szCs w:val="24"/>
        </w:rPr>
        <w:t xml:space="preserve">Valsts </w:t>
      </w:r>
      <w:r>
        <w:rPr>
          <w:rFonts w:ascii="Times New Roman" w:hAnsi="Times New Roman" w:cs="Times New Roman"/>
          <w:sz w:val="24"/>
          <w:szCs w:val="24"/>
        </w:rPr>
        <w:t>sociālās apdrošināšanas obligātajām iemaksām</w:t>
      </w:r>
      <w:r w:rsidRPr="00744BD5">
        <w:rPr>
          <w:rFonts w:ascii="Times New Roman" w:eastAsia="Times New Roman" w:hAnsi="Times New Roman" w:cs="Times New Roman"/>
          <w:color w:val="800000"/>
          <w:sz w:val="24"/>
          <w:szCs w:val="24"/>
          <w:lang w:eastAsia="lv-LV"/>
        </w:rPr>
        <w:t> </w:t>
      </w:r>
      <w:r>
        <w:rPr>
          <w:rFonts w:ascii="Times New Roman" w:hAnsi="Times New Roman" w:cs="Times New Roman"/>
          <w:sz w:val="24"/>
          <w:szCs w:val="24"/>
        </w:rPr>
        <w:t xml:space="preserve">pieejama </w:t>
      </w:r>
      <w:r w:rsidR="00DA46A6">
        <w:rPr>
          <w:rFonts w:ascii="Times New Roman" w:hAnsi="Times New Roman" w:cs="Times New Roman"/>
          <w:sz w:val="24"/>
          <w:szCs w:val="24"/>
        </w:rPr>
        <w:t xml:space="preserve">Valsts ieņēmumu dienesta </w:t>
      </w:r>
      <w:r>
        <w:rPr>
          <w:rFonts w:ascii="Times New Roman" w:hAnsi="Times New Roman" w:cs="Times New Roman"/>
          <w:sz w:val="24"/>
          <w:szCs w:val="24"/>
        </w:rPr>
        <w:t xml:space="preserve">saitē: </w:t>
      </w:r>
      <w:hyperlink r:id="rId8" w:history="1">
        <w:r w:rsidRPr="00744BD5">
          <w:rPr>
            <w:rStyle w:val="Hyperlink"/>
            <w:rFonts w:ascii="Times New Roman" w:eastAsia="Times New Roman" w:hAnsi="Times New Roman" w:cs="Times New Roman"/>
            <w:sz w:val="27"/>
            <w:szCs w:val="27"/>
            <w:lang w:eastAsia="lv-LV"/>
          </w:rPr>
          <w:t>Saimnieciskās darbības veicēji</w:t>
        </w:r>
      </w:hyperlink>
      <w:r>
        <w:rPr>
          <w:rFonts w:ascii="Times New Roman" w:eastAsia="Times New Roman" w:hAnsi="Times New Roman" w:cs="Times New Roman"/>
          <w:color w:val="840017"/>
          <w:sz w:val="27"/>
          <w:szCs w:val="27"/>
          <w:lang w:eastAsia="lv-LV"/>
        </w:rPr>
        <w:t xml:space="preserve"> </w:t>
      </w:r>
      <w:r w:rsidR="00DA46A6">
        <w:rPr>
          <w:rFonts w:ascii="Times New Roman" w:hAnsi="Times New Roman" w:cs="Times New Roman"/>
          <w:sz w:val="24"/>
          <w:szCs w:val="24"/>
        </w:rPr>
        <w:t>(skatīt “</w:t>
      </w:r>
      <w:r w:rsidR="00DA46A6" w:rsidRPr="00A47FA7">
        <w:rPr>
          <w:rFonts w:ascii="Times New Roman" w:hAnsi="Times New Roman" w:cs="Times New Roman"/>
          <w:sz w:val="24"/>
          <w:szCs w:val="24"/>
        </w:rPr>
        <w:t>Metodiskais materiāls “</w:t>
      </w:r>
      <w:hyperlink r:id="rId9" w:history="1">
        <w:r w:rsidR="00DA46A6" w:rsidRPr="00A47FA7">
          <w:rPr>
            <w:rFonts w:ascii="Times New Roman" w:hAnsi="Times New Roman" w:cs="Times New Roman"/>
            <w:sz w:val="24"/>
            <w:szCs w:val="24"/>
          </w:rPr>
          <w:t>Pašnodarbinātā valsts sociālās apdrošināšanas obligātās iemaksas</w:t>
        </w:r>
      </w:hyperlink>
      <w:r w:rsidR="00DA46A6" w:rsidRPr="00A47FA7">
        <w:rPr>
          <w:rFonts w:ascii="Times New Roman" w:hAnsi="Times New Roman" w:cs="Times New Roman"/>
          <w:sz w:val="24"/>
          <w:szCs w:val="24"/>
        </w:rPr>
        <w:t>”").</w:t>
      </w:r>
    </w:p>
    <w:p w:rsidR="00372BC3" w:rsidRPr="00106387" w:rsidRDefault="00815AEA" w:rsidP="008E1507">
      <w:pPr>
        <w:shd w:val="clear" w:color="auto" w:fill="FFFFFF"/>
        <w:spacing w:line="240" w:lineRule="auto"/>
        <w:jc w:val="both"/>
        <w:rPr>
          <w:rFonts w:ascii="Times New Roman" w:eastAsia="Times New Roman" w:hAnsi="Times New Roman" w:cs="Times New Roman"/>
          <w:b/>
          <w:color w:val="FF0000"/>
          <w:sz w:val="24"/>
          <w:szCs w:val="24"/>
          <w:lang w:eastAsia="lv-LV"/>
        </w:rPr>
      </w:pPr>
      <w:r w:rsidRPr="00106387">
        <w:rPr>
          <w:rFonts w:ascii="Times New Roman" w:eastAsia="Times New Roman" w:hAnsi="Times New Roman" w:cs="Times New Roman"/>
          <w:b/>
          <w:color w:val="FF0000"/>
          <w:sz w:val="24"/>
          <w:szCs w:val="24"/>
          <w:lang w:eastAsia="lv-LV"/>
        </w:rPr>
        <w:t xml:space="preserve">!!!! </w:t>
      </w:r>
      <w:r w:rsidR="00372BC3" w:rsidRPr="00106387">
        <w:rPr>
          <w:rFonts w:ascii="Times New Roman" w:eastAsia="Times New Roman" w:hAnsi="Times New Roman" w:cs="Times New Roman"/>
          <w:b/>
          <w:color w:val="FF0000"/>
          <w:sz w:val="24"/>
          <w:szCs w:val="24"/>
          <w:lang w:eastAsia="lv-LV"/>
        </w:rPr>
        <w:t>Noteikumu Nr.590 6.2.apakšpunkts nosaka</w:t>
      </w:r>
      <w:r w:rsidR="00CE42B5">
        <w:rPr>
          <w:rFonts w:ascii="Times New Roman" w:eastAsia="Times New Roman" w:hAnsi="Times New Roman" w:cs="Times New Roman"/>
          <w:b/>
          <w:color w:val="FF0000"/>
          <w:sz w:val="24"/>
          <w:szCs w:val="24"/>
          <w:lang w:eastAsia="lv-LV"/>
        </w:rPr>
        <w:t>,</w:t>
      </w:r>
      <w:r w:rsidR="00372BC3" w:rsidRPr="00106387">
        <w:rPr>
          <w:rFonts w:ascii="Times New Roman" w:eastAsia="Times New Roman" w:hAnsi="Times New Roman" w:cs="Times New Roman"/>
          <w:b/>
          <w:color w:val="FF0000"/>
          <w:sz w:val="24"/>
          <w:szCs w:val="24"/>
          <w:lang w:eastAsia="lv-LV"/>
        </w:rPr>
        <w:t xml:space="preserve"> ka radīta darbvieta ir – pašnodarbinātās personas saimnieciskās darbības uzsākšana un par to tiek veiktas valsts sociālās apdrošināšanas  obligātās iemaksas.</w:t>
      </w:r>
    </w:p>
    <w:p w:rsidR="00A46E7D" w:rsidRDefault="00372BC3" w:rsidP="008E1507">
      <w:pPr>
        <w:shd w:val="clear" w:color="auto" w:fill="FFFFFF"/>
        <w:spacing w:line="240" w:lineRule="auto"/>
        <w:jc w:val="both"/>
        <w:rPr>
          <w:rFonts w:ascii="Times New Roman" w:eastAsia="Times New Roman" w:hAnsi="Times New Roman" w:cs="Times New Roman"/>
          <w:b/>
          <w:color w:val="FF0000"/>
          <w:sz w:val="24"/>
          <w:szCs w:val="24"/>
          <w:lang w:eastAsia="lv-LV"/>
        </w:rPr>
      </w:pPr>
      <w:r w:rsidRPr="00106387">
        <w:rPr>
          <w:rFonts w:ascii="Times New Roman" w:eastAsia="Times New Roman" w:hAnsi="Times New Roman" w:cs="Times New Roman"/>
          <w:b/>
          <w:color w:val="FF0000"/>
          <w:sz w:val="24"/>
          <w:szCs w:val="24"/>
          <w:lang w:eastAsia="lv-LV"/>
        </w:rPr>
        <w:t>Pēc projekta īstenošanas ne vēlāk kā trešajā</w:t>
      </w:r>
      <w:r w:rsidR="00106387" w:rsidRPr="00106387">
        <w:rPr>
          <w:rFonts w:ascii="Times New Roman" w:eastAsia="Times New Roman" w:hAnsi="Times New Roman" w:cs="Times New Roman"/>
          <w:b/>
          <w:color w:val="FF0000"/>
          <w:sz w:val="24"/>
          <w:szCs w:val="24"/>
          <w:lang w:eastAsia="lv-LV"/>
        </w:rPr>
        <w:t xml:space="preserve"> (Noteikumu Nr.590 19.punkts) </w:t>
      </w:r>
      <w:r w:rsidR="000602F2">
        <w:rPr>
          <w:rFonts w:ascii="Times New Roman" w:eastAsia="Times New Roman" w:hAnsi="Times New Roman" w:cs="Times New Roman"/>
          <w:b/>
          <w:color w:val="FF0000"/>
          <w:sz w:val="24"/>
          <w:szCs w:val="24"/>
          <w:lang w:eastAsia="lv-LV"/>
        </w:rPr>
        <w:t xml:space="preserve"> noslēgtajā gadā tiks pārbaudītas</w:t>
      </w:r>
      <w:r w:rsidRPr="00106387">
        <w:rPr>
          <w:rFonts w:ascii="Times New Roman" w:eastAsia="Times New Roman" w:hAnsi="Times New Roman" w:cs="Times New Roman"/>
          <w:b/>
          <w:color w:val="FF0000"/>
          <w:sz w:val="24"/>
          <w:szCs w:val="24"/>
          <w:lang w:eastAsia="lv-LV"/>
        </w:rPr>
        <w:t xml:space="preserve"> pašnodarbinātā</w:t>
      </w:r>
      <w:r w:rsidR="000602F2">
        <w:rPr>
          <w:rFonts w:ascii="Times New Roman" w:eastAsia="Times New Roman" w:hAnsi="Times New Roman" w:cs="Times New Roman"/>
          <w:b/>
          <w:color w:val="FF0000"/>
          <w:sz w:val="24"/>
          <w:szCs w:val="24"/>
          <w:lang w:eastAsia="lv-LV"/>
        </w:rPr>
        <w:t>s</w:t>
      </w:r>
      <w:r w:rsidRPr="00106387">
        <w:rPr>
          <w:rFonts w:ascii="Times New Roman" w:eastAsia="Times New Roman" w:hAnsi="Times New Roman" w:cs="Times New Roman"/>
          <w:b/>
          <w:color w:val="FF0000"/>
          <w:sz w:val="24"/>
          <w:szCs w:val="24"/>
          <w:lang w:eastAsia="lv-LV"/>
        </w:rPr>
        <w:t xml:space="preserve"> persona</w:t>
      </w:r>
      <w:r w:rsidR="000602F2">
        <w:rPr>
          <w:rFonts w:ascii="Times New Roman" w:eastAsia="Times New Roman" w:hAnsi="Times New Roman" w:cs="Times New Roman"/>
          <w:b/>
          <w:color w:val="FF0000"/>
          <w:sz w:val="24"/>
          <w:szCs w:val="24"/>
          <w:lang w:eastAsia="lv-LV"/>
        </w:rPr>
        <w:t>s</w:t>
      </w:r>
      <w:r w:rsidRPr="00106387">
        <w:rPr>
          <w:rFonts w:ascii="Times New Roman" w:eastAsia="Times New Roman" w:hAnsi="Times New Roman" w:cs="Times New Roman"/>
          <w:b/>
          <w:color w:val="FF0000"/>
          <w:sz w:val="24"/>
          <w:szCs w:val="24"/>
          <w:lang w:eastAsia="lv-LV"/>
        </w:rPr>
        <w:t xml:space="preserve"> </w:t>
      </w:r>
      <w:r w:rsidR="000602F2">
        <w:rPr>
          <w:rFonts w:ascii="Times New Roman" w:eastAsia="Times New Roman" w:hAnsi="Times New Roman" w:cs="Times New Roman"/>
          <w:b/>
          <w:color w:val="FF0000"/>
          <w:sz w:val="24"/>
          <w:szCs w:val="24"/>
          <w:lang w:eastAsia="lv-LV"/>
        </w:rPr>
        <w:t>veiktās</w:t>
      </w:r>
      <w:r w:rsidRPr="00106387">
        <w:rPr>
          <w:rFonts w:ascii="Times New Roman" w:eastAsia="Times New Roman" w:hAnsi="Times New Roman" w:cs="Times New Roman"/>
          <w:b/>
          <w:color w:val="FF0000"/>
          <w:sz w:val="24"/>
          <w:szCs w:val="24"/>
          <w:lang w:eastAsia="lv-LV"/>
        </w:rPr>
        <w:t xml:space="preserve"> valsts sociālās apdrošināšanas obligātās iemaksas (</w:t>
      </w:r>
      <w:r w:rsidR="007F3C98">
        <w:rPr>
          <w:rFonts w:ascii="Times New Roman" w:hAnsi="Times New Roman"/>
          <w:b/>
          <w:bCs/>
          <w:color w:val="FF0000"/>
          <w:sz w:val="24"/>
          <w:szCs w:val="24"/>
          <w:lang w:eastAsia="lv-LV"/>
        </w:rPr>
        <w:t>tām nav jābūt veiktām katru mēnesi, bet tikai tad</w:t>
      </w:r>
      <w:r w:rsidR="00CE42B5">
        <w:rPr>
          <w:rFonts w:ascii="Times New Roman" w:hAnsi="Times New Roman"/>
          <w:b/>
          <w:bCs/>
          <w:color w:val="FF0000"/>
          <w:sz w:val="24"/>
          <w:szCs w:val="24"/>
          <w:lang w:eastAsia="lv-LV"/>
        </w:rPr>
        <w:t>,</w:t>
      </w:r>
      <w:r w:rsidR="007F3C98">
        <w:rPr>
          <w:rFonts w:ascii="Times New Roman" w:hAnsi="Times New Roman"/>
          <w:b/>
          <w:bCs/>
          <w:color w:val="FF0000"/>
          <w:sz w:val="24"/>
          <w:szCs w:val="24"/>
          <w:lang w:eastAsia="lv-LV"/>
        </w:rPr>
        <w:t xml:space="preserve"> kad pašnodarbinātās personas obligātās iemaksas </w:t>
      </w:r>
      <w:r w:rsidR="00F23F88">
        <w:rPr>
          <w:rFonts w:ascii="Times New Roman" w:hAnsi="Times New Roman"/>
          <w:b/>
          <w:bCs/>
          <w:color w:val="FF0000"/>
          <w:sz w:val="24"/>
          <w:szCs w:val="24"/>
          <w:lang w:eastAsia="lv-LV"/>
        </w:rPr>
        <w:t>objekts</w:t>
      </w:r>
      <w:r w:rsidR="007F3C98">
        <w:rPr>
          <w:rFonts w:ascii="Times New Roman" w:hAnsi="Times New Roman"/>
          <w:b/>
          <w:bCs/>
          <w:color w:val="FF0000"/>
          <w:sz w:val="24"/>
          <w:szCs w:val="24"/>
          <w:lang w:eastAsia="lv-LV"/>
        </w:rPr>
        <w:t xml:space="preserve"> mēnesī </w:t>
      </w:r>
      <w:r w:rsidR="00F23F88">
        <w:rPr>
          <w:rFonts w:ascii="Times New Roman" w:hAnsi="Times New Roman"/>
          <w:b/>
          <w:bCs/>
          <w:color w:val="FF0000"/>
          <w:sz w:val="24"/>
          <w:szCs w:val="24"/>
          <w:lang w:eastAsia="lv-LV"/>
        </w:rPr>
        <w:t xml:space="preserve">ir vienāds ar vai </w:t>
      </w:r>
      <w:r w:rsidR="007F3C98">
        <w:rPr>
          <w:rFonts w:ascii="Times New Roman" w:hAnsi="Times New Roman"/>
          <w:b/>
          <w:bCs/>
          <w:color w:val="FF0000"/>
          <w:sz w:val="24"/>
          <w:szCs w:val="24"/>
          <w:lang w:eastAsia="lv-LV"/>
        </w:rPr>
        <w:t>pārsniedz 370 EUR</w:t>
      </w:r>
      <w:r w:rsidRPr="00106387">
        <w:rPr>
          <w:rFonts w:ascii="Times New Roman" w:eastAsia="Times New Roman" w:hAnsi="Times New Roman" w:cs="Times New Roman"/>
          <w:b/>
          <w:color w:val="FF0000"/>
          <w:sz w:val="24"/>
          <w:szCs w:val="24"/>
          <w:lang w:eastAsia="lv-LV"/>
        </w:rPr>
        <w:t>)</w:t>
      </w:r>
      <w:r w:rsidR="00106387" w:rsidRPr="00106387">
        <w:rPr>
          <w:rFonts w:ascii="Times New Roman" w:eastAsia="Times New Roman" w:hAnsi="Times New Roman" w:cs="Times New Roman"/>
          <w:b/>
          <w:color w:val="FF0000"/>
          <w:sz w:val="24"/>
          <w:szCs w:val="24"/>
          <w:lang w:eastAsia="lv-LV"/>
        </w:rPr>
        <w:t xml:space="preserve">. </w:t>
      </w:r>
      <w:r w:rsidR="00A46E7D">
        <w:rPr>
          <w:rFonts w:ascii="Times New Roman" w:hAnsi="Times New Roman"/>
          <w:b/>
          <w:bCs/>
          <w:color w:val="FF0000"/>
          <w:sz w:val="24"/>
          <w:szCs w:val="24"/>
          <w:lang w:eastAsia="lv-LV"/>
        </w:rPr>
        <w:t>Veikto iemaksu apjoms turpmākajā saistību periodā nevar tikt samazināts salīdzinot ar iepriekš (līdz 3. noslēgtajam gadam un ieskaitot to) veikto valsts sociālās apdrošināšanas obligāto iemaksu apjomu.</w:t>
      </w:r>
    </w:p>
    <w:p w:rsidR="00301A6D" w:rsidRDefault="00301A6D" w:rsidP="00301A6D">
      <w:pPr>
        <w:jc w:val="center"/>
        <w:rPr>
          <w:rFonts w:ascii="Times New Roman" w:eastAsia="Times New Roman" w:hAnsi="Times New Roman" w:cs="Times New Roman"/>
          <w:b/>
          <w:color w:val="FF0000"/>
          <w:sz w:val="24"/>
          <w:szCs w:val="24"/>
          <w:lang w:eastAsia="lv-LV"/>
        </w:rPr>
      </w:pPr>
    </w:p>
    <w:p w:rsidR="00A46E7D" w:rsidRPr="00106387" w:rsidRDefault="00A46E7D" w:rsidP="00301A6D">
      <w:pPr>
        <w:jc w:val="center"/>
        <w:rPr>
          <w:rFonts w:ascii="Times New Roman" w:eastAsia="Times New Roman" w:hAnsi="Times New Roman" w:cs="Times New Roman"/>
          <w:b/>
          <w:color w:val="FF0000"/>
          <w:sz w:val="24"/>
          <w:szCs w:val="24"/>
          <w:lang w:eastAsia="lv-LV"/>
        </w:rPr>
      </w:pPr>
    </w:p>
    <w:p w:rsidR="00106387" w:rsidRPr="00301A6D" w:rsidRDefault="00106387" w:rsidP="00301A6D">
      <w:pPr>
        <w:jc w:val="center"/>
        <w:rPr>
          <w:rFonts w:ascii="Times New Roman" w:hAnsi="Times New Roman" w:cs="Times New Roman"/>
          <w:sz w:val="24"/>
          <w:szCs w:val="24"/>
        </w:rPr>
      </w:pPr>
    </w:p>
    <w:sectPr w:rsidR="00106387" w:rsidRPr="00301A6D" w:rsidSect="00815AEA">
      <w:pgSz w:w="11906" w:h="16838"/>
      <w:pgMar w:top="567"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EE6" w:rsidRDefault="00CA4EE6" w:rsidP="00106387">
      <w:pPr>
        <w:spacing w:after="0" w:line="240" w:lineRule="auto"/>
      </w:pPr>
      <w:r>
        <w:separator/>
      </w:r>
    </w:p>
  </w:endnote>
  <w:endnote w:type="continuationSeparator" w:id="1">
    <w:p w:rsidR="00CA4EE6" w:rsidRDefault="00CA4EE6" w:rsidP="00106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EE6" w:rsidRDefault="00CA4EE6" w:rsidP="00106387">
      <w:pPr>
        <w:spacing w:after="0" w:line="240" w:lineRule="auto"/>
      </w:pPr>
      <w:r>
        <w:separator/>
      </w:r>
    </w:p>
  </w:footnote>
  <w:footnote w:type="continuationSeparator" w:id="1">
    <w:p w:rsidR="00CA4EE6" w:rsidRDefault="00CA4EE6" w:rsidP="001063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27A"/>
    <w:multiLevelType w:val="hybridMultilevel"/>
    <w:tmpl w:val="711A7BDC"/>
    <w:lvl w:ilvl="0" w:tplc="895629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38FA09D2"/>
    <w:multiLevelType w:val="hybridMultilevel"/>
    <w:tmpl w:val="C590C2D2"/>
    <w:lvl w:ilvl="0" w:tplc="642C40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41D716E5"/>
    <w:multiLevelType w:val="hybridMultilevel"/>
    <w:tmpl w:val="1DA6AAA2"/>
    <w:lvl w:ilvl="0" w:tplc="0426000F">
      <w:start w:val="1"/>
      <w:numFmt w:val="decimal"/>
      <w:lvlText w:val="%1."/>
      <w:lvlJc w:val="left"/>
      <w:pPr>
        <w:ind w:left="840" w:hanging="360"/>
      </w:p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1A6D"/>
    <w:rsid w:val="000602F2"/>
    <w:rsid w:val="00106387"/>
    <w:rsid w:val="00136FC7"/>
    <w:rsid w:val="00140575"/>
    <w:rsid w:val="001C3B48"/>
    <w:rsid w:val="00301A6D"/>
    <w:rsid w:val="00351E46"/>
    <w:rsid w:val="00372BC3"/>
    <w:rsid w:val="003B173B"/>
    <w:rsid w:val="00456AE3"/>
    <w:rsid w:val="00495B02"/>
    <w:rsid w:val="00502A99"/>
    <w:rsid w:val="0054478A"/>
    <w:rsid w:val="0057217B"/>
    <w:rsid w:val="005A5505"/>
    <w:rsid w:val="005E20D1"/>
    <w:rsid w:val="0069783F"/>
    <w:rsid w:val="006B7D53"/>
    <w:rsid w:val="006E73B6"/>
    <w:rsid w:val="00744BD5"/>
    <w:rsid w:val="007F3C98"/>
    <w:rsid w:val="00815AEA"/>
    <w:rsid w:val="008373D4"/>
    <w:rsid w:val="00850B76"/>
    <w:rsid w:val="00892C17"/>
    <w:rsid w:val="008D0DF5"/>
    <w:rsid w:val="008E1507"/>
    <w:rsid w:val="00905D61"/>
    <w:rsid w:val="009112DB"/>
    <w:rsid w:val="00925A62"/>
    <w:rsid w:val="00974386"/>
    <w:rsid w:val="00A131B0"/>
    <w:rsid w:val="00A46E7D"/>
    <w:rsid w:val="00A47FA7"/>
    <w:rsid w:val="00CA4EE6"/>
    <w:rsid w:val="00CE42B5"/>
    <w:rsid w:val="00DA46A6"/>
    <w:rsid w:val="00E96074"/>
    <w:rsid w:val="00F23F88"/>
    <w:rsid w:val="00F7609D"/>
    <w:rsid w:val="00F96A79"/>
    <w:rsid w:val="00FA250B"/>
    <w:rsid w:val="00FF6F3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1A6D"/>
  </w:style>
  <w:style w:type="paragraph" w:styleId="ListParagraph">
    <w:name w:val="List Paragraph"/>
    <w:basedOn w:val="Normal"/>
    <w:uiPriority w:val="34"/>
    <w:qFormat/>
    <w:rsid w:val="00301A6D"/>
    <w:pPr>
      <w:ind w:left="720"/>
      <w:contextualSpacing/>
    </w:pPr>
  </w:style>
  <w:style w:type="paragraph" w:styleId="NormalWeb">
    <w:name w:val="Normal (Web)"/>
    <w:basedOn w:val="Normal"/>
    <w:uiPriority w:val="99"/>
    <w:semiHidden/>
    <w:unhideWhenUsed/>
    <w:rsid w:val="008E15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E1507"/>
    <w:rPr>
      <w:b/>
      <w:bCs/>
    </w:rPr>
  </w:style>
  <w:style w:type="character" w:styleId="Hyperlink">
    <w:name w:val="Hyperlink"/>
    <w:basedOn w:val="DefaultParagraphFont"/>
    <w:uiPriority w:val="99"/>
    <w:unhideWhenUsed/>
    <w:rsid w:val="00744BD5"/>
    <w:rPr>
      <w:color w:val="0563C1" w:themeColor="hyperlink"/>
      <w:u w:val="single"/>
    </w:rPr>
  </w:style>
  <w:style w:type="character" w:customStyle="1" w:styleId="sadalasnosaukums">
    <w:name w:val="sadalasnosaukums"/>
    <w:basedOn w:val="DefaultParagraphFont"/>
    <w:rsid w:val="00744BD5"/>
  </w:style>
  <w:style w:type="character" w:styleId="FollowedHyperlink">
    <w:name w:val="FollowedHyperlink"/>
    <w:basedOn w:val="DefaultParagraphFont"/>
    <w:uiPriority w:val="99"/>
    <w:semiHidden/>
    <w:unhideWhenUsed/>
    <w:rsid w:val="00744BD5"/>
    <w:rPr>
      <w:color w:val="954F72" w:themeColor="followedHyperlink"/>
      <w:u w:val="single"/>
    </w:rPr>
  </w:style>
  <w:style w:type="paragraph" w:styleId="BalloonText">
    <w:name w:val="Balloon Text"/>
    <w:basedOn w:val="Normal"/>
    <w:link w:val="BalloonTextChar"/>
    <w:uiPriority w:val="99"/>
    <w:semiHidden/>
    <w:unhideWhenUsed/>
    <w:rsid w:val="00DA4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6A6"/>
    <w:rPr>
      <w:rFonts w:ascii="Segoe UI" w:hAnsi="Segoe UI" w:cs="Segoe UI"/>
      <w:sz w:val="18"/>
      <w:szCs w:val="18"/>
    </w:rPr>
  </w:style>
  <w:style w:type="paragraph" w:styleId="BodyText">
    <w:name w:val="Body Text"/>
    <w:basedOn w:val="Normal"/>
    <w:link w:val="BodyTextChar"/>
    <w:rsid w:val="00351E46"/>
    <w:pPr>
      <w:spacing w:after="0" w:line="240" w:lineRule="auto"/>
      <w:jc w:val="both"/>
    </w:pPr>
    <w:rPr>
      <w:rFonts w:ascii="Times New Roman" w:eastAsia="Times New Roman" w:hAnsi="Times New Roman" w:cs="Times New Roman"/>
      <w:position w:val="12"/>
      <w:sz w:val="28"/>
      <w:szCs w:val="20"/>
    </w:rPr>
  </w:style>
  <w:style w:type="character" w:customStyle="1" w:styleId="BodyTextChar">
    <w:name w:val="Body Text Char"/>
    <w:basedOn w:val="DefaultParagraphFont"/>
    <w:link w:val="BodyText"/>
    <w:rsid w:val="00351E46"/>
    <w:rPr>
      <w:rFonts w:ascii="Times New Roman" w:eastAsia="Times New Roman" w:hAnsi="Times New Roman" w:cs="Times New Roman"/>
      <w:position w:val="12"/>
      <w:sz w:val="28"/>
      <w:szCs w:val="20"/>
    </w:rPr>
  </w:style>
  <w:style w:type="paragraph" w:styleId="FootnoteText">
    <w:name w:val="footnote text"/>
    <w:basedOn w:val="Normal"/>
    <w:link w:val="FootnoteTextChar"/>
    <w:uiPriority w:val="99"/>
    <w:semiHidden/>
    <w:unhideWhenUsed/>
    <w:rsid w:val="001063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387"/>
    <w:rPr>
      <w:sz w:val="20"/>
      <w:szCs w:val="20"/>
    </w:rPr>
  </w:style>
  <w:style w:type="character" w:styleId="FootnoteReference">
    <w:name w:val="footnote reference"/>
    <w:basedOn w:val="DefaultParagraphFont"/>
    <w:uiPriority w:val="99"/>
    <w:semiHidden/>
    <w:unhideWhenUsed/>
    <w:rsid w:val="001063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1A6D"/>
  </w:style>
  <w:style w:type="paragraph" w:styleId="ListParagraph">
    <w:name w:val="List Paragraph"/>
    <w:basedOn w:val="Normal"/>
    <w:uiPriority w:val="34"/>
    <w:qFormat/>
    <w:rsid w:val="00301A6D"/>
    <w:pPr>
      <w:ind w:left="720"/>
      <w:contextualSpacing/>
    </w:pPr>
  </w:style>
  <w:style w:type="paragraph" w:styleId="NormalWeb">
    <w:name w:val="Normal (Web)"/>
    <w:basedOn w:val="Normal"/>
    <w:uiPriority w:val="99"/>
    <w:semiHidden/>
    <w:unhideWhenUsed/>
    <w:rsid w:val="008E15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E1507"/>
    <w:rPr>
      <w:b/>
      <w:bCs/>
    </w:rPr>
  </w:style>
  <w:style w:type="character" w:styleId="Hyperlink">
    <w:name w:val="Hyperlink"/>
    <w:basedOn w:val="DefaultParagraphFont"/>
    <w:uiPriority w:val="99"/>
    <w:unhideWhenUsed/>
    <w:rsid w:val="00744BD5"/>
    <w:rPr>
      <w:color w:val="0563C1" w:themeColor="hyperlink"/>
      <w:u w:val="single"/>
    </w:rPr>
  </w:style>
  <w:style w:type="character" w:customStyle="1" w:styleId="sadalasnosaukums">
    <w:name w:val="sadalasnosaukums"/>
    <w:basedOn w:val="DefaultParagraphFont"/>
    <w:rsid w:val="00744BD5"/>
  </w:style>
  <w:style w:type="character" w:styleId="FollowedHyperlink">
    <w:name w:val="FollowedHyperlink"/>
    <w:basedOn w:val="DefaultParagraphFont"/>
    <w:uiPriority w:val="99"/>
    <w:semiHidden/>
    <w:unhideWhenUsed/>
    <w:rsid w:val="00744BD5"/>
    <w:rPr>
      <w:color w:val="954F72" w:themeColor="followedHyperlink"/>
      <w:u w:val="single"/>
    </w:rPr>
  </w:style>
  <w:style w:type="paragraph" w:styleId="BalloonText">
    <w:name w:val="Balloon Text"/>
    <w:basedOn w:val="Normal"/>
    <w:link w:val="BalloonTextChar"/>
    <w:uiPriority w:val="99"/>
    <w:semiHidden/>
    <w:unhideWhenUsed/>
    <w:rsid w:val="00DA4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6A6"/>
    <w:rPr>
      <w:rFonts w:ascii="Segoe UI" w:hAnsi="Segoe UI" w:cs="Segoe UI"/>
      <w:sz w:val="18"/>
      <w:szCs w:val="18"/>
    </w:rPr>
  </w:style>
  <w:style w:type="paragraph" w:styleId="BodyText">
    <w:name w:val="Body Text"/>
    <w:basedOn w:val="Normal"/>
    <w:link w:val="BodyTextChar"/>
    <w:rsid w:val="00351E46"/>
    <w:pPr>
      <w:spacing w:after="0" w:line="240" w:lineRule="auto"/>
      <w:jc w:val="both"/>
    </w:pPr>
    <w:rPr>
      <w:rFonts w:ascii="Times New Roman" w:eastAsia="Times New Roman" w:hAnsi="Times New Roman" w:cs="Times New Roman"/>
      <w:position w:val="12"/>
      <w:sz w:val="28"/>
      <w:szCs w:val="20"/>
    </w:rPr>
  </w:style>
  <w:style w:type="character" w:customStyle="1" w:styleId="BodyTextChar">
    <w:name w:val="Body Text Char"/>
    <w:basedOn w:val="DefaultParagraphFont"/>
    <w:link w:val="BodyText"/>
    <w:rsid w:val="00351E46"/>
    <w:rPr>
      <w:rFonts w:ascii="Times New Roman" w:eastAsia="Times New Roman" w:hAnsi="Times New Roman" w:cs="Times New Roman"/>
      <w:position w:val="12"/>
      <w:sz w:val="28"/>
      <w:szCs w:val="20"/>
    </w:rPr>
  </w:style>
  <w:style w:type="paragraph" w:styleId="FootnoteText">
    <w:name w:val="footnote text"/>
    <w:basedOn w:val="Normal"/>
    <w:link w:val="FootnoteTextChar"/>
    <w:uiPriority w:val="99"/>
    <w:semiHidden/>
    <w:unhideWhenUsed/>
    <w:rsid w:val="001063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387"/>
    <w:rPr>
      <w:sz w:val="20"/>
      <w:szCs w:val="20"/>
    </w:rPr>
  </w:style>
  <w:style w:type="character" w:styleId="FootnoteReference">
    <w:name w:val="footnote reference"/>
    <w:basedOn w:val="DefaultParagraphFont"/>
    <w:uiPriority w:val="99"/>
    <w:semiHidden/>
    <w:unhideWhenUsed/>
    <w:rsid w:val="00106387"/>
    <w:rPr>
      <w:vertAlign w:val="superscript"/>
    </w:rPr>
  </w:style>
</w:styles>
</file>

<file path=word/webSettings.xml><?xml version="1.0" encoding="utf-8"?>
<w:webSettings xmlns:r="http://schemas.openxmlformats.org/officeDocument/2006/relationships" xmlns:w="http://schemas.openxmlformats.org/wordprocessingml/2006/main">
  <w:divs>
    <w:div w:id="87390460">
      <w:bodyDiv w:val="1"/>
      <w:marLeft w:val="0"/>
      <w:marRight w:val="0"/>
      <w:marTop w:val="0"/>
      <w:marBottom w:val="0"/>
      <w:divBdr>
        <w:top w:val="none" w:sz="0" w:space="0" w:color="auto"/>
        <w:left w:val="none" w:sz="0" w:space="0" w:color="auto"/>
        <w:bottom w:val="none" w:sz="0" w:space="0" w:color="auto"/>
        <w:right w:val="none" w:sz="0" w:space="0" w:color="auto"/>
      </w:divBdr>
      <w:divsChild>
        <w:div w:id="1759714041">
          <w:marLeft w:val="0"/>
          <w:marRight w:val="0"/>
          <w:marTop w:val="75"/>
          <w:marBottom w:val="0"/>
          <w:divBdr>
            <w:top w:val="none" w:sz="0" w:space="0" w:color="auto"/>
            <w:left w:val="none" w:sz="0" w:space="0" w:color="auto"/>
            <w:bottom w:val="none" w:sz="0" w:space="0" w:color="auto"/>
            <w:right w:val="none" w:sz="0" w:space="0" w:color="auto"/>
          </w:divBdr>
          <w:divsChild>
            <w:div w:id="775951831">
              <w:marLeft w:val="0"/>
              <w:marRight w:val="0"/>
              <w:marTop w:val="0"/>
              <w:marBottom w:val="0"/>
              <w:divBdr>
                <w:top w:val="none" w:sz="0" w:space="0" w:color="auto"/>
                <w:left w:val="none" w:sz="0" w:space="0" w:color="auto"/>
                <w:bottom w:val="none" w:sz="0" w:space="0" w:color="auto"/>
                <w:right w:val="none" w:sz="0" w:space="0" w:color="auto"/>
              </w:divBdr>
              <w:divsChild>
                <w:div w:id="929117072">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250358096">
      <w:bodyDiv w:val="1"/>
      <w:marLeft w:val="0"/>
      <w:marRight w:val="0"/>
      <w:marTop w:val="0"/>
      <w:marBottom w:val="0"/>
      <w:divBdr>
        <w:top w:val="none" w:sz="0" w:space="0" w:color="auto"/>
        <w:left w:val="none" w:sz="0" w:space="0" w:color="auto"/>
        <w:bottom w:val="none" w:sz="0" w:space="0" w:color="auto"/>
        <w:right w:val="none" w:sz="0" w:space="0" w:color="auto"/>
      </w:divBdr>
      <w:divsChild>
        <w:div w:id="930119397">
          <w:marLeft w:val="0"/>
          <w:marRight w:val="0"/>
          <w:marTop w:val="75"/>
          <w:marBottom w:val="0"/>
          <w:divBdr>
            <w:top w:val="none" w:sz="0" w:space="0" w:color="auto"/>
            <w:left w:val="none" w:sz="0" w:space="0" w:color="auto"/>
            <w:bottom w:val="none" w:sz="0" w:space="0" w:color="auto"/>
            <w:right w:val="none" w:sz="0" w:space="0" w:color="auto"/>
          </w:divBdr>
          <w:divsChild>
            <w:div w:id="1744251611">
              <w:marLeft w:val="0"/>
              <w:marRight w:val="0"/>
              <w:marTop w:val="0"/>
              <w:marBottom w:val="0"/>
              <w:divBdr>
                <w:top w:val="none" w:sz="0" w:space="0" w:color="auto"/>
                <w:left w:val="none" w:sz="0" w:space="0" w:color="auto"/>
                <w:bottom w:val="none" w:sz="0" w:space="0" w:color="auto"/>
                <w:right w:val="none" w:sz="0" w:space="0" w:color="auto"/>
              </w:divBdr>
              <w:divsChild>
                <w:div w:id="1928686072">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296615988">
      <w:bodyDiv w:val="1"/>
      <w:marLeft w:val="0"/>
      <w:marRight w:val="0"/>
      <w:marTop w:val="0"/>
      <w:marBottom w:val="0"/>
      <w:divBdr>
        <w:top w:val="none" w:sz="0" w:space="0" w:color="auto"/>
        <w:left w:val="none" w:sz="0" w:space="0" w:color="auto"/>
        <w:bottom w:val="none" w:sz="0" w:space="0" w:color="auto"/>
        <w:right w:val="none" w:sz="0" w:space="0" w:color="auto"/>
      </w:divBdr>
      <w:divsChild>
        <w:div w:id="1867136100">
          <w:marLeft w:val="0"/>
          <w:marRight w:val="0"/>
          <w:marTop w:val="75"/>
          <w:marBottom w:val="0"/>
          <w:divBdr>
            <w:top w:val="none" w:sz="0" w:space="0" w:color="auto"/>
            <w:left w:val="none" w:sz="0" w:space="0" w:color="auto"/>
            <w:bottom w:val="none" w:sz="0" w:space="0" w:color="auto"/>
            <w:right w:val="none" w:sz="0" w:space="0" w:color="auto"/>
          </w:divBdr>
          <w:divsChild>
            <w:div w:id="533079249">
              <w:marLeft w:val="0"/>
              <w:marRight w:val="0"/>
              <w:marTop w:val="0"/>
              <w:marBottom w:val="0"/>
              <w:divBdr>
                <w:top w:val="none" w:sz="0" w:space="0" w:color="auto"/>
                <w:left w:val="none" w:sz="0" w:space="0" w:color="auto"/>
                <w:bottom w:val="none" w:sz="0" w:space="0" w:color="auto"/>
                <w:right w:val="none" w:sz="0" w:space="0" w:color="auto"/>
              </w:divBdr>
              <w:divsChild>
                <w:div w:id="1231573409">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1305814513">
      <w:bodyDiv w:val="1"/>
      <w:marLeft w:val="0"/>
      <w:marRight w:val="0"/>
      <w:marTop w:val="0"/>
      <w:marBottom w:val="0"/>
      <w:divBdr>
        <w:top w:val="none" w:sz="0" w:space="0" w:color="auto"/>
        <w:left w:val="none" w:sz="0" w:space="0" w:color="auto"/>
        <w:bottom w:val="none" w:sz="0" w:space="0" w:color="auto"/>
        <w:right w:val="none" w:sz="0" w:space="0" w:color="auto"/>
      </w:divBdr>
      <w:divsChild>
        <w:div w:id="593709470">
          <w:marLeft w:val="0"/>
          <w:marRight w:val="0"/>
          <w:marTop w:val="75"/>
          <w:marBottom w:val="0"/>
          <w:divBdr>
            <w:top w:val="none" w:sz="0" w:space="0" w:color="auto"/>
            <w:left w:val="none" w:sz="0" w:space="0" w:color="auto"/>
            <w:bottom w:val="none" w:sz="0" w:space="0" w:color="auto"/>
            <w:right w:val="none" w:sz="0" w:space="0" w:color="auto"/>
          </w:divBdr>
          <w:divsChild>
            <w:div w:id="10565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39536">
      <w:bodyDiv w:val="1"/>
      <w:marLeft w:val="0"/>
      <w:marRight w:val="0"/>
      <w:marTop w:val="0"/>
      <w:marBottom w:val="0"/>
      <w:divBdr>
        <w:top w:val="none" w:sz="0" w:space="0" w:color="auto"/>
        <w:left w:val="none" w:sz="0" w:space="0" w:color="auto"/>
        <w:bottom w:val="none" w:sz="0" w:space="0" w:color="auto"/>
        <w:right w:val="none" w:sz="0" w:space="0" w:color="auto"/>
      </w:divBdr>
      <w:divsChild>
        <w:div w:id="929047145">
          <w:marLeft w:val="0"/>
          <w:marRight w:val="0"/>
          <w:marTop w:val="75"/>
          <w:marBottom w:val="0"/>
          <w:divBdr>
            <w:top w:val="none" w:sz="0" w:space="0" w:color="auto"/>
            <w:left w:val="none" w:sz="0" w:space="0" w:color="auto"/>
            <w:bottom w:val="none" w:sz="0" w:space="0" w:color="auto"/>
            <w:right w:val="none" w:sz="0" w:space="0" w:color="auto"/>
          </w:divBdr>
          <w:divsChild>
            <w:div w:id="2110661743">
              <w:marLeft w:val="0"/>
              <w:marRight w:val="0"/>
              <w:marTop w:val="0"/>
              <w:marBottom w:val="0"/>
              <w:divBdr>
                <w:top w:val="none" w:sz="0" w:space="0" w:color="auto"/>
                <w:left w:val="none" w:sz="0" w:space="0" w:color="auto"/>
                <w:bottom w:val="none" w:sz="0" w:space="0" w:color="auto"/>
                <w:right w:val="none" w:sz="0" w:space="0" w:color="auto"/>
              </w:divBdr>
              <w:divsChild>
                <w:div w:id="270822801">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2001689541">
      <w:bodyDiv w:val="1"/>
      <w:marLeft w:val="0"/>
      <w:marRight w:val="0"/>
      <w:marTop w:val="0"/>
      <w:marBottom w:val="0"/>
      <w:divBdr>
        <w:top w:val="none" w:sz="0" w:space="0" w:color="auto"/>
        <w:left w:val="none" w:sz="0" w:space="0" w:color="auto"/>
        <w:bottom w:val="none" w:sz="0" w:space="0" w:color="auto"/>
        <w:right w:val="none" w:sz="0" w:space="0" w:color="auto"/>
      </w:divBdr>
      <w:divsChild>
        <w:div w:id="1893534981">
          <w:marLeft w:val="0"/>
          <w:marRight w:val="0"/>
          <w:marTop w:val="480"/>
          <w:marBottom w:val="240"/>
          <w:divBdr>
            <w:top w:val="none" w:sz="0" w:space="0" w:color="auto"/>
            <w:left w:val="none" w:sz="0" w:space="0" w:color="auto"/>
            <w:bottom w:val="none" w:sz="0" w:space="0" w:color="auto"/>
            <w:right w:val="none" w:sz="0" w:space="0" w:color="auto"/>
          </w:divBdr>
        </w:div>
        <w:div w:id="3745511">
          <w:marLeft w:val="0"/>
          <w:marRight w:val="0"/>
          <w:marTop w:val="0"/>
          <w:marBottom w:val="567"/>
          <w:divBdr>
            <w:top w:val="none" w:sz="0" w:space="0" w:color="auto"/>
            <w:left w:val="none" w:sz="0" w:space="0" w:color="auto"/>
            <w:bottom w:val="none" w:sz="0" w:space="0" w:color="auto"/>
            <w:right w:val="none" w:sz="0" w:space="0" w:color="auto"/>
          </w:divBdr>
        </w:div>
      </w:divsChild>
    </w:div>
    <w:div w:id="2116632562">
      <w:bodyDiv w:val="1"/>
      <w:marLeft w:val="0"/>
      <w:marRight w:val="0"/>
      <w:marTop w:val="0"/>
      <w:marBottom w:val="0"/>
      <w:divBdr>
        <w:top w:val="none" w:sz="0" w:space="0" w:color="auto"/>
        <w:left w:val="none" w:sz="0" w:space="0" w:color="auto"/>
        <w:bottom w:val="none" w:sz="0" w:space="0" w:color="auto"/>
        <w:right w:val="none" w:sz="0" w:space="0" w:color="auto"/>
      </w:divBdr>
      <w:divsChild>
        <w:div w:id="579487870">
          <w:marLeft w:val="0"/>
          <w:marRight w:val="0"/>
          <w:marTop w:val="75"/>
          <w:marBottom w:val="0"/>
          <w:divBdr>
            <w:top w:val="none" w:sz="0" w:space="0" w:color="auto"/>
            <w:left w:val="none" w:sz="0" w:space="0" w:color="auto"/>
            <w:bottom w:val="none" w:sz="0" w:space="0" w:color="auto"/>
            <w:right w:val="none" w:sz="0" w:space="0" w:color="auto"/>
          </w:divBdr>
          <w:divsChild>
            <w:div w:id="1468665491">
              <w:marLeft w:val="0"/>
              <w:marRight w:val="0"/>
              <w:marTop w:val="0"/>
              <w:marBottom w:val="0"/>
              <w:divBdr>
                <w:top w:val="none" w:sz="0" w:space="0" w:color="auto"/>
                <w:left w:val="none" w:sz="0" w:space="0" w:color="auto"/>
                <w:bottom w:val="none" w:sz="0" w:space="0" w:color="auto"/>
                <w:right w:val="none" w:sz="0" w:space="0" w:color="auto"/>
              </w:divBdr>
              <w:divsChild>
                <w:div w:id="2097819423">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gov.lv/default.aspx?tabid=8&amp;id=5437&amp;hl=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d.gov.lv/dokumenti/tiesibu_akti/metodiskie%20materi%C4%81li/vsaoi/2015/marts/pasnod_vsaoi_2015_precizets_13.0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0AB2-5D3B-41D7-A030-BCAA0431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3626</Words>
  <Characters>2067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Lauku atbalsta dienests</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Spīķe</dc:creator>
  <cp:lastModifiedBy>PC</cp:lastModifiedBy>
  <cp:revision>2</cp:revision>
  <cp:lastPrinted>2016-03-09T12:52:00Z</cp:lastPrinted>
  <dcterms:created xsi:type="dcterms:W3CDTF">2016-04-22T06:57:00Z</dcterms:created>
  <dcterms:modified xsi:type="dcterms:W3CDTF">2016-04-22T06:57:00Z</dcterms:modified>
</cp:coreProperties>
</file>